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091A" w:rsidRDefault="0050091A" w:rsidP="0060460D">
      <w:pPr>
        <w:pStyle w:val="1"/>
        <w:spacing w:before="0" w:line="240" w:lineRule="auto"/>
        <w:ind w:left="-567" w:right="-142"/>
        <w:rPr>
          <w:rFonts w:ascii="Times New Roman" w:hAnsi="Times New Roman" w:cs="Times New Roman"/>
          <w:b/>
          <w:color w:val="auto"/>
          <w:szCs w:val="30"/>
        </w:rPr>
      </w:pPr>
      <w:r>
        <w:rPr>
          <w:rFonts w:ascii="Times New Roman" w:hAnsi="Times New Roman" w:cs="Times New Roman"/>
          <w:b/>
          <w:noProof/>
          <w:color w:val="auto"/>
          <w:szCs w:val="30"/>
        </w:rPr>
        <w:drawing>
          <wp:anchor distT="0" distB="0" distL="114300" distR="114300" simplePos="0" relativeHeight="251658240" behindDoc="1" locked="0" layoutInCell="1" allowOverlap="1" wp14:editId="25B6C674">
            <wp:simplePos x="0" y="0"/>
            <wp:positionH relativeFrom="column">
              <wp:posOffset>2251710</wp:posOffset>
            </wp:positionH>
            <wp:positionV relativeFrom="page">
              <wp:posOffset>202565</wp:posOffset>
            </wp:positionV>
            <wp:extent cx="6953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304" y="21016"/>
                <wp:lineTo x="21304" y="0"/>
                <wp:lineTo x="0" y="0"/>
              </wp:wrapPolygon>
            </wp:wrapTight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9E1" w:rsidRPr="002079E1" w:rsidRDefault="002079E1" w:rsidP="0060460D">
      <w:pPr>
        <w:pStyle w:val="1"/>
        <w:spacing w:before="0" w:line="240" w:lineRule="auto"/>
        <w:ind w:left="-567" w:right="-142"/>
        <w:rPr>
          <w:rFonts w:ascii="Times New Roman" w:hAnsi="Times New Roman" w:cs="Times New Roman"/>
          <w:b/>
          <w:color w:val="auto"/>
          <w:szCs w:val="30"/>
        </w:rPr>
      </w:pPr>
      <w:r w:rsidRPr="002079E1">
        <w:rPr>
          <w:rFonts w:ascii="Times New Roman" w:hAnsi="Times New Roman" w:cs="Times New Roman"/>
          <w:b/>
          <w:color w:val="auto"/>
          <w:szCs w:val="30"/>
        </w:rPr>
        <w:t>ГАРАДОЦКІ   РАЁННЫ</w:t>
      </w:r>
      <w:r w:rsidRPr="002079E1">
        <w:rPr>
          <w:rFonts w:ascii="Times New Roman" w:hAnsi="Times New Roman" w:cs="Times New Roman"/>
          <w:b/>
          <w:color w:val="auto"/>
          <w:szCs w:val="30"/>
        </w:rPr>
        <w:tab/>
        <w:t xml:space="preserve">                    ГОРОДОКСКИЙ РАЙОННЫЙ </w:t>
      </w:r>
    </w:p>
    <w:p w:rsidR="002079E1" w:rsidRPr="002079E1" w:rsidRDefault="002079E1" w:rsidP="0060460D">
      <w:pPr>
        <w:pStyle w:val="a5"/>
        <w:tabs>
          <w:tab w:val="clear" w:pos="4677"/>
          <w:tab w:val="left" w:pos="374"/>
        </w:tabs>
        <w:ind w:left="-567" w:right="-143"/>
        <w:rPr>
          <w:rFonts w:ascii="Times New Roman" w:hAnsi="Times New Roman" w:cs="Times New Roman"/>
          <w:b/>
          <w:bCs/>
          <w:sz w:val="30"/>
          <w:szCs w:val="30"/>
        </w:rPr>
      </w:pPr>
      <w:r w:rsidRPr="002079E1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  САВЕТ ДЭПУТАТАУ</w:t>
      </w:r>
      <w:r w:rsidRPr="002079E1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r w:rsidRPr="002079E1">
        <w:rPr>
          <w:rFonts w:ascii="Times New Roman" w:hAnsi="Times New Roman" w:cs="Times New Roman"/>
          <w:b/>
          <w:bCs/>
          <w:sz w:val="30"/>
          <w:szCs w:val="30"/>
        </w:rPr>
        <w:t xml:space="preserve">    СОВЕТ ДЕПУТАТОВ</w:t>
      </w:r>
    </w:p>
    <w:p w:rsidR="002079E1" w:rsidRPr="0060460D" w:rsidRDefault="002079E1" w:rsidP="0060460D">
      <w:pPr>
        <w:tabs>
          <w:tab w:val="left" w:pos="6675"/>
        </w:tabs>
        <w:spacing w:after="0" w:line="240" w:lineRule="auto"/>
        <w:ind w:left="-567" w:right="-142"/>
        <w:rPr>
          <w:rFonts w:ascii="Times New Roman" w:hAnsi="Times New Roman" w:cs="Times New Roman"/>
          <w:sz w:val="18"/>
          <w:szCs w:val="18"/>
        </w:rPr>
      </w:pPr>
      <w:r w:rsidRPr="0060460D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2079E1" w:rsidRDefault="002079E1" w:rsidP="0060460D">
      <w:pPr>
        <w:tabs>
          <w:tab w:val="left" w:pos="6675"/>
        </w:tabs>
        <w:spacing w:after="0" w:line="240" w:lineRule="auto"/>
        <w:ind w:left="-567" w:right="-142"/>
        <w:rPr>
          <w:rFonts w:ascii="Times New Roman" w:hAnsi="Times New Roman" w:cs="Times New Roman"/>
          <w:sz w:val="30"/>
          <w:szCs w:val="30"/>
        </w:rPr>
      </w:pPr>
      <w:r w:rsidRPr="002079E1">
        <w:rPr>
          <w:rFonts w:ascii="Times New Roman" w:hAnsi="Times New Roman" w:cs="Times New Roman"/>
          <w:sz w:val="30"/>
          <w:szCs w:val="30"/>
        </w:rPr>
        <w:t xml:space="preserve">          РАШЭННЕ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2079E1">
        <w:rPr>
          <w:rFonts w:ascii="Times New Roman" w:hAnsi="Times New Roman" w:cs="Times New Roman"/>
          <w:sz w:val="30"/>
          <w:szCs w:val="30"/>
        </w:rPr>
        <w:t xml:space="preserve">  РЕШЕНИЕ</w:t>
      </w:r>
    </w:p>
    <w:p w:rsidR="0060460D" w:rsidRPr="002079E1" w:rsidRDefault="0060460D" w:rsidP="0060460D">
      <w:pPr>
        <w:tabs>
          <w:tab w:val="left" w:pos="6675"/>
        </w:tabs>
        <w:spacing w:after="0" w:line="240" w:lineRule="auto"/>
        <w:ind w:left="-567" w:right="-142"/>
        <w:rPr>
          <w:rFonts w:ascii="Times New Roman" w:hAnsi="Times New Roman" w:cs="Times New Roman"/>
          <w:sz w:val="30"/>
          <w:szCs w:val="30"/>
        </w:rPr>
      </w:pPr>
    </w:p>
    <w:p w:rsidR="002079E1" w:rsidRPr="002079E1" w:rsidRDefault="002079E1" w:rsidP="0060460D">
      <w:pPr>
        <w:spacing w:line="240" w:lineRule="auto"/>
        <w:ind w:left="-567" w:right="-143"/>
        <w:rPr>
          <w:rFonts w:ascii="Times New Roman" w:hAnsi="Times New Roman" w:cs="Times New Roman"/>
          <w:sz w:val="30"/>
          <w:szCs w:val="30"/>
        </w:rPr>
      </w:pPr>
      <w:r w:rsidRPr="002079E1">
        <w:rPr>
          <w:rFonts w:ascii="Times New Roman" w:hAnsi="Times New Roman" w:cs="Times New Roman"/>
          <w:sz w:val="30"/>
          <w:szCs w:val="30"/>
        </w:rPr>
        <w:t xml:space="preserve">     </w:t>
      </w:r>
      <w:r w:rsidR="0050091A">
        <w:rPr>
          <w:rFonts w:ascii="Times New Roman" w:hAnsi="Times New Roman" w:cs="Times New Roman"/>
          <w:sz w:val="30"/>
          <w:szCs w:val="30"/>
        </w:rPr>
        <w:t>19</w:t>
      </w:r>
      <w:r w:rsidRPr="002079E1">
        <w:rPr>
          <w:rFonts w:ascii="Times New Roman" w:hAnsi="Times New Roman" w:cs="Times New Roman"/>
          <w:sz w:val="30"/>
          <w:szCs w:val="30"/>
        </w:rPr>
        <w:t xml:space="preserve"> </w:t>
      </w:r>
      <w:r w:rsidR="00DF77B8">
        <w:rPr>
          <w:rFonts w:ascii="Times New Roman" w:hAnsi="Times New Roman" w:cs="Times New Roman"/>
          <w:sz w:val="30"/>
          <w:szCs w:val="30"/>
        </w:rPr>
        <w:t>февраля</w:t>
      </w:r>
      <w:r w:rsidRPr="002079E1">
        <w:rPr>
          <w:rFonts w:ascii="Times New Roman" w:hAnsi="Times New Roman" w:cs="Times New Roman"/>
          <w:sz w:val="30"/>
          <w:szCs w:val="30"/>
        </w:rPr>
        <w:t xml:space="preserve"> 202</w:t>
      </w:r>
      <w:r w:rsidR="00DF77B8">
        <w:rPr>
          <w:rFonts w:ascii="Times New Roman" w:hAnsi="Times New Roman" w:cs="Times New Roman"/>
          <w:sz w:val="30"/>
          <w:szCs w:val="30"/>
        </w:rPr>
        <w:t>4</w:t>
      </w:r>
      <w:r w:rsidRPr="002079E1">
        <w:rPr>
          <w:rFonts w:ascii="Times New Roman" w:hAnsi="Times New Roman" w:cs="Times New Roman"/>
          <w:sz w:val="30"/>
          <w:szCs w:val="30"/>
        </w:rPr>
        <w:t xml:space="preserve"> г. №</w:t>
      </w:r>
      <w:r w:rsidR="00AF6202">
        <w:rPr>
          <w:rFonts w:ascii="Times New Roman" w:hAnsi="Times New Roman" w:cs="Times New Roman"/>
          <w:sz w:val="30"/>
          <w:szCs w:val="30"/>
        </w:rPr>
        <w:t xml:space="preserve"> </w:t>
      </w:r>
      <w:r w:rsidR="0050091A">
        <w:rPr>
          <w:rFonts w:ascii="Times New Roman" w:hAnsi="Times New Roman" w:cs="Times New Roman"/>
          <w:sz w:val="30"/>
          <w:szCs w:val="30"/>
        </w:rPr>
        <w:t>338</w:t>
      </w:r>
      <w:r w:rsidRPr="002079E1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2079E1" w:rsidRPr="002079E1" w:rsidRDefault="002079E1" w:rsidP="0060460D">
      <w:pPr>
        <w:spacing w:line="240" w:lineRule="auto"/>
        <w:ind w:left="-567"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079E1">
        <w:rPr>
          <w:rFonts w:ascii="Times New Roman" w:hAnsi="Times New Roman" w:cs="Times New Roman"/>
          <w:sz w:val="30"/>
          <w:szCs w:val="30"/>
        </w:rPr>
        <w:t xml:space="preserve">г. </w:t>
      </w:r>
      <w:proofErr w:type="spellStart"/>
      <w:r w:rsidRPr="002079E1">
        <w:rPr>
          <w:rFonts w:ascii="Times New Roman" w:hAnsi="Times New Roman" w:cs="Times New Roman"/>
          <w:sz w:val="30"/>
          <w:szCs w:val="30"/>
        </w:rPr>
        <w:t>Гарадок</w:t>
      </w:r>
      <w:proofErr w:type="spellEnd"/>
      <w:r w:rsidRPr="002079E1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079E1">
        <w:rPr>
          <w:rFonts w:ascii="Times New Roman" w:hAnsi="Times New Roman" w:cs="Times New Roman"/>
          <w:sz w:val="30"/>
          <w:szCs w:val="30"/>
        </w:rPr>
        <w:t xml:space="preserve"> г. Городок</w:t>
      </w:r>
    </w:p>
    <w:p w:rsidR="003D66EE" w:rsidRDefault="003D66EE" w:rsidP="0060460D">
      <w:pPr>
        <w:pStyle w:val="11"/>
        <w:keepNext/>
        <w:keepLines/>
        <w:tabs>
          <w:tab w:val="left" w:pos="6096"/>
        </w:tabs>
        <w:spacing w:before="0" w:after="0"/>
        <w:ind w:left="1134" w:right="3684"/>
        <w:jc w:val="both"/>
        <w:rPr>
          <w:b w:val="0"/>
          <w:sz w:val="30"/>
          <w:szCs w:val="30"/>
        </w:rPr>
      </w:pPr>
    </w:p>
    <w:p w:rsidR="003D66EE" w:rsidRDefault="00E80610" w:rsidP="0060460D">
      <w:pPr>
        <w:pStyle w:val="11"/>
        <w:keepNext/>
        <w:keepLines/>
        <w:tabs>
          <w:tab w:val="left" w:pos="6096"/>
        </w:tabs>
        <w:spacing w:before="0" w:after="0"/>
        <w:ind w:right="3684"/>
        <w:jc w:val="both"/>
        <w:rPr>
          <w:b w:val="0"/>
          <w:sz w:val="30"/>
          <w:szCs w:val="30"/>
        </w:rPr>
      </w:pPr>
      <w:r w:rsidRPr="003557E9">
        <w:rPr>
          <w:b w:val="0"/>
          <w:sz w:val="30"/>
          <w:szCs w:val="30"/>
        </w:rPr>
        <w:t xml:space="preserve">Об </w:t>
      </w:r>
      <w:r w:rsidR="00BF409A">
        <w:rPr>
          <w:b w:val="0"/>
          <w:sz w:val="30"/>
          <w:szCs w:val="30"/>
        </w:rPr>
        <w:t>изменении решения Городокского</w:t>
      </w:r>
    </w:p>
    <w:p w:rsidR="00E80610" w:rsidRDefault="00BF409A" w:rsidP="0060460D">
      <w:pPr>
        <w:pStyle w:val="11"/>
        <w:keepNext/>
        <w:keepLines/>
        <w:tabs>
          <w:tab w:val="left" w:pos="6096"/>
        </w:tabs>
        <w:spacing w:before="0" w:after="0"/>
        <w:ind w:right="3684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районного Совета</w:t>
      </w:r>
      <w:r w:rsidR="00E80610" w:rsidRPr="003557E9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депутатов </w:t>
      </w:r>
    </w:p>
    <w:p w:rsidR="00BF409A" w:rsidRPr="003557E9" w:rsidRDefault="00BF409A" w:rsidP="0060460D">
      <w:pPr>
        <w:pStyle w:val="11"/>
        <w:keepNext/>
        <w:keepLines/>
        <w:tabs>
          <w:tab w:val="left" w:pos="6096"/>
        </w:tabs>
        <w:spacing w:before="0" w:after="0"/>
        <w:ind w:right="3684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от 26 июня 2020 г. № 121</w:t>
      </w:r>
    </w:p>
    <w:p w:rsidR="00E80610" w:rsidRPr="003557E9" w:rsidRDefault="00E80610" w:rsidP="00F529DF">
      <w:pPr>
        <w:suppressAutoHyphens/>
        <w:ind w:firstLine="709"/>
        <w:jc w:val="both"/>
        <w:rPr>
          <w:sz w:val="30"/>
          <w:szCs w:val="30"/>
        </w:rPr>
      </w:pPr>
    </w:p>
    <w:p w:rsidR="00E80610" w:rsidRPr="003557E9" w:rsidRDefault="00E80610" w:rsidP="00F529DF">
      <w:pPr>
        <w:pStyle w:val="preamble"/>
        <w:ind w:firstLine="709"/>
        <w:rPr>
          <w:sz w:val="30"/>
          <w:szCs w:val="30"/>
        </w:rPr>
      </w:pPr>
      <w:r w:rsidRPr="003557E9">
        <w:rPr>
          <w:sz w:val="30"/>
          <w:szCs w:val="30"/>
        </w:rPr>
        <w:t xml:space="preserve">На основании пунктов 21 и 22 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25 июля 2016 г. № 289, </w:t>
      </w:r>
      <w:r w:rsidR="00E35D41">
        <w:rPr>
          <w:sz w:val="30"/>
          <w:szCs w:val="30"/>
        </w:rPr>
        <w:t>Городокский районный</w:t>
      </w:r>
      <w:r w:rsidRPr="003557E9">
        <w:rPr>
          <w:sz w:val="30"/>
          <w:szCs w:val="30"/>
        </w:rPr>
        <w:t xml:space="preserve"> Совет депутатов РЕШИЛ:</w:t>
      </w:r>
    </w:p>
    <w:p w:rsidR="00E80610" w:rsidRPr="003557E9" w:rsidRDefault="00635EA1" w:rsidP="00271B43">
      <w:pPr>
        <w:pStyle w:val="point"/>
        <w:numPr>
          <w:ilvl w:val="0"/>
          <w:numId w:val="11"/>
        </w:numPr>
        <w:ind w:left="0" w:firstLine="709"/>
        <w:rPr>
          <w:sz w:val="30"/>
          <w:szCs w:val="30"/>
        </w:rPr>
      </w:pPr>
      <w:r>
        <w:rPr>
          <w:sz w:val="30"/>
          <w:szCs w:val="30"/>
        </w:rPr>
        <w:t>Приложение</w:t>
      </w:r>
      <w:r w:rsidR="00882EB4">
        <w:rPr>
          <w:sz w:val="30"/>
          <w:szCs w:val="30"/>
        </w:rPr>
        <w:t xml:space="preserve"> к решению Городокского районного Совета депутатов</w:t>
      </w:r>
      <w:r w:rsidR="00882EB4" w:rsidRPr="00882EB4">
        <w:rPr>
          <w:sz w:val="30"/>
          <w:szCs w:val="30"/>
        </w:rPr>
        <w:t xml:space="preserve"> </w:t>
      </w:r>
      <w:r w:rsidR="00882EB4">
        <w:rPr>
          <w:sz w:val="30"/>
          <w:szCs w:val="30"/>
        </w:rPr>
        <w:t>от 26 июня 2020 г. № 121 «Об утверждении регионального комплекса мероприятий»</w:t>
      </w:r>
      <w:r w:rsidR="00F856A6">
        <w:rPr>
          <w:sz w:val="30"/>
          <w:szCs w:val="30"/>
        </w:rPr>
        <w:t xml:space="preserve"> по реализации Государственной программы «Управление государственными финансами и регулирование финансового рынка» на 202</w:t>
      </w:r>
      <w:r w:rsidR="00EA47D6" w:rsidRPr="00EA47D6">
        <w:rPr>
          <w:sz w:val="30"/>
          <w:szCs w:val="30"/>
        </w:rPr>
        <w:t>0</w:t>
      </w:r>
      <w:r w:rsidR="00F856A6">
        <w:rPr>
          <w:sz w:val="30"/>
          <w:szCs w:val="30"/>
        </w:rPr>
        <w:t xml:space="preserve"> год и на период до 2025 года</w:t>
      </w:r>
      <w:r w:rsidR="00271B43">
        <w:rPr>
          <w:sz w:val="30"/>
          <w:szCs w:val="30"/>
        </w:rPr>
        <w:t>»</w:t>
      </w:r>
      <w:r w:rsidR="001A1C66">
        <w:rPr>
          <w:sz w:val="30"/>
          <w:szCs w:val="30"/>
        </w:rPr>
        <w:t xml:space="preserve"> изложить в новой редакции</w:t>
      </w:r>
      <w:r w:rsidR="00FB1AF9" w:rsidRPr="003557E9">
        <w:rPr>
          <w:sz w:val="30"/>
          <w:szCs w:val="30"/>
        </w:rPr>
        <w:t xml:space="preserve"> (</w:t>
      </w:r>
      <w:r w:rsidR="00E80610" w:rsidRPr="003557E9">
        <w:rPr>
          <w:sz w:val="30"/>
          <w:szCs w:val="30"/>
        </w:rPr>
        <w:t>прил</w:t>
      </w:r>
      <w:r w:rsidR="007D5260">
        <w:rPr>
          <w:sz w:val="30"/>
          <w:szCs w:val="30"/>
        </w:rPr>
        <w:t>агается)</w:t>
      </w:r>
      <w:r w:rsidR="00E80610" w:rsidRPr="003557E9">
        <w:rPr>
          <w:sz w:val="30"/>
          <w:szCs w:val="30"/>
        </w:rPr>
        <w:t>.</w:t>
      </w:r>
    </w:p>
    <w:p w:rsidR="00271B43" w:rsidRPr="00FF2E60" w:rsidRDefault="00271B43" w:rsidP="00271B43">
      <w:pPr>
        <w:pStyle w:val="point"/>
        <w:numPr>
          <w:ilvl w:val="0"/>
          <w:numId w:val="11"/>
        </w:numPr>
        <w:ind w:left="0" w:firstLine="709"/>
        <w:rPr>
          <w:sz w:val="30"/>
          <w:szCs w:val="30"/>
        </w:rPr>
      </w:pPr>
      <w:r w:rsidRPr="003557E9">
        <w:rPr>
          <w:sz w:val="30"/>
          <w:szCs w:val="30"/>
        </w:rPr>
        <w:t>Контроль за выполнением настоящего решения возложить на</w:t>
      </w:r>
      <w:r>
        <w:rPr>
          <w:sz w:val="30"/>
          <w:szCs w:val="30"/>
        </w:rPr>
        <w:t xml:space="preserve"> </w:t>
      </w:r>
      <w:r w:rsidRPr="003557E9">
        <w:rPr>
          <w:sz w:val="30"/>
          <w:szCs w:val="30"/>
        </w:rPr>
        <w:t>заместител</w:t>
      </w:r>
      <w:r>
        <w:rPr>
          <w:sz w:val="30"/>
          <w:szCs w:val="30"/>
        </w:rPr>
        <w:t>я</w:t>
      </w:r>
      <w:r w:rsidRPr="003557E9">
        <w:rPr>
          <w:sz w:val="30"/>
          <w:szCs w:val="30"/>
        </w:rPr>
        <w:t xml:space="preserve"> председателя </w:t>
      </w:r>
      <w:r>
        <w:rPr>
          <w:sz w:val="30"/>
          <w:szCs w:val="30"/>
        </w:rPr>
        <w:t xml:space="preserve">Городокского районного исполнительного комитета (далее – райисполком) </w:t>
      </w:r>
      <w:r w:rsidRPr="003557E9">
        <w:rPr>
          <w:sz w:val="30"/>
          <w:szCs w:val="30"/>
        </w:rPr>
        <w:t>по направлени</w:t>
      </w:r>
      <w:r>
        <w:rPr>
          <w:sz w:val="30"/>
          <w:szCs w:val="30"/>
          <w:lang w:val="be-BY"/>
        </w:rPr>
        <w:t>ю</w:t>
      </w:r>
      <w:r w:rsidRPr="003557E9">
        <w:rPr>
          <w:sz w:val="30"/>
          <w:szCs w:val="30"/>
        </w:rPr>
        <w:t xml:space="preserve"> деятельности, </w:t>
      </w:r>
      <w:r>
        <w:rPr>
          <w:sz w:val="30"/>
          <w:szCs w:val="30"/>
        </w:rPr>
        <w:t xml:space="preserve">финансовый отдел </w:t>
      </w:r>
      <w:r w:rsidR="00DF77B8">
        <w:rPr>
          <w:sz w:val="30"/>
          <w:szCs w:val="30"/>
        </w:rPr>
        <w:t>райисполкома</w:t>
      </w:r>
      <w:r w:rsidR="00DF77B8">
        <w:rPr>
          <w:sz w:val="30"/>
          <w:szCs w:val="30"/>
          <w:lang w:val="be-BY"/>
        </w:rPr>
        <w:t xml:space="preserve"> </w:t>
      </w:r>
      <w:r w:rsidR="00DF77B8">
        <w:rPr>
          <w:sz w:val="30"/>
          <w:szCs w:val="30"/>
        </w:rPr>
        <w:t>и</w:t>
      </w:r>
      <w:r>
        <w:rPr>
          <w:sz w:val="30"/>
          <w:szCs w:val="30"/>
        </w:rPr>
        <w:t xml:space="preserve"> отделы райисполкома.</w:t>
      </w:r>
    </w:p>
    <w:p w:rsidR="002C3B3F" w:rsidRDefault="002C3B3F" w:rsidP="00F529DF">
      <w:pPr>
        <w:pStyle w:val="newncpi"/>
        <w:tabs>
          <w:tab w:val="left" w:pos="6804"/>
        </w:tabs>
        <w:ind w:firstLine="0"/>
        <w:rPr>
          <w:sz w:val="30"/>
          <w:szCs w:val="30"/>
        </w:rPr>
      </w:pPr>
    </w:p>
    <w:p w:rsidR="007D0AB3" w:rsidRDefault="00E80610" w:rsidP="00F529DF">
      <w:pPr>
        <w:pStyle w:val="newncpi"/>
        <w:tabs>
          <w:tab w:val="left" w:pos="6804"/>
        </w:tabs>
        <w:ind w:firstLine="0"/>
        <w:rPr>
          <w:sz w:val="30"/>
          <w:szCs w:val="30"/>
        </w:rPr>
      </w:pPr>
      <w:r w:rsidRPr="003557E9">
        <w:rPr>
          <w:sz w:val="30"/>
          <w:szCs w:val="30"/>
        </w:rPr>
        <w:t xml:space="preserve">Председатель                                            </w:t>
      </w:r>
      <w:r w:rsidR="008D2FF3">
        <w:rPr>
          <w:sz w:val="30"/>
          <w:szCs w:val="30"/>
        </w:rPr>
        <w:t xml:space="preserve">        </w:t>
      </w:r>
      <w:r w:rsidR="00F529DF">
        <w:rPr>
          <w:sz w:val="30"/>
          <w:szCs w:val="30"/>
        </w:rPr>
        <w:tab/>
      </w:r>
      <w:proofErr w:type="spellStart"/>
      <w:r w:rsidR="00E35D41">
        <w:rPr>
          <w:sz w:val="30"/>
          <w:szCs w:val="30"/>
        </w:rPr>
        <w:t>С.Л.Зуева</w:t>
      </w:r>
      <w:proofErr w:type="spellEnd"/>
      <w:r w:rsidRPr="003557E9">
        <w:rPr>
          <w:sz w:val="30"/>
          <w:szCs w:val="30"/>
        </w:rPr>
        <w:t xml:space="preserve"> </w:t>
      </w:r>
    </w:p>
    <w:p w:rsidR="00D44260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D44260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D44260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D44260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2C3B3F" w:rsidRDefault="002C3B3F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2C3B3F" w:rsidRDefault="002C3B3F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2C3B3F" w:rsidRDefault="002C3B3F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2C3B3F" w:rsidRDefault="002C3B3F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2C3B3F" w:rsidRDefault="002C3B3F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2C3B3F" w:rsidRDefault="002C3B3F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D44260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D44260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D44260" w:rsidRPr="00F856A6" w:rsidRDefault="00F856A6" w:rsidP="00F529DF">
      <w:pPr>
        <w:pStyle w:val="newncpi"/>
        <w:tabs>
          <w:tab w:val="left" w:pos="6804"/>
        </w:tabs>
        <w:ind w:firstLine="0"/>
        <w:rPr>
          <w:rFonts w:eastAsia="Times New Roman"/>
          <w:sz w:val="18"/>
          <w:szCs w:val="18"/>
        </w:rPr>
        <w:sectPr w:rsidR="00D44260" w:rsidRPr="00F856A6" w:rsidSect="00AB3A76">
          <w:headerReference w:type="even" r:id="rId9"/>
          <w:headerReference w:type="default" r:id="rId10"/>
          <w:pgSz w:w="11906" w:h="16838"/>
          <w:pgMar w:top="1134" w:right="567" w:bottom="1134" w:left="1701" w:header="278" w:footer="709" w:gutter="0"/>
          <w:pgNumType w:start="0"/>
          <w:cols w:space="720"/>
          <w:titlePg/>
          <w:docGrid w:linePitch="299"/>
        </w:sectPr>
      </w:pPr>
      <w:r w:rsidRPr="00F856A6">
        <w:rPr>
          <w:rFonts w:eastAsia="Times New Roman"/>
          <w:sz w:val="18"/>
          <w:szCs w:val="18"/>
        </w:rPr>
        <w:t>Мукомол 58694</w:t>
      </w:r>
    </w:p>
    <w:p w:rsidR="00D44260" w:rsidRPr="00D44260" w:rsidRDefault="00D44260" w:rsidP="00D44260">
      <w:pPr>
        <w:spacing w:after="0" w:line="240" w:lineRule="auto"/>
        <w:ind w:left="851" w:right="-31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УТВЕРЖДЕНО </w:t>
      </w:r>
    </w:p>
    <w:p w:rsidR="00D44260" w:rsidRPr="00D44260" w:rsidRDefault="00D44260" w:rsidP="00D44260">
      <w:pPr>
        <w:spacing w:after="0" w:line="120" w:lineRule="exact"/>
        <w:ind w:left="851" w:right="-28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928F9" w:rsidRDefault="00D44260" w:rsidP="00D44260">
      <w:pPr>
        <w:spacing w:after="0" w:line="280" w:lineRule="exact"/>
        <w:ind w:left="851" w:right="851" w:firstLine="552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="000928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</w:p>
    <w:p w:rsidR="00D44260" w:rsidRPr="00D44260" w:rsidRDefault="000928F9" w:rsidP="00D44260">
      <w:pPr>
        <w:spacing w:after="0" w:line="280" w:lineRule="exact"/>
        <w:ind w:left="851" w:right="851" w:firstLine="552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="001A1C66">
        <w:rPr>
          <w:rFonts w:ascii="Times New Roman" w:eastAsia="Times New Roman" w:hAnsi="Times New Roman" w:cs="Times New Roman"/>
          <w:sz w:val="30"/>
          <w:szCs w:val="30"/>
          <w:lang w:eastAsia="ru-RU"/>
        </w:rPr>
        <w:t>к р</w:t>
      </w:r>
      <w:r w:rsidR="00D44260"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ешени</w:t>
      </w:r>
      <w:r w:rsidR="001A1C66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D44260"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44260" w:rsidRPr="00D44260" w:rsidRDefault="00D44260" w:rsidP="00D44260">
      <w:pPr>
        <w:spacing w:after="0" w:line="280" w:lineRule="exact"/>
        <w:ind w:left="851" w:right="851" w:firstLine="552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="00E35D41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Городокского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35D4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</w:p>
    <w:p w:rsidR="00D44260" w:rsidRPr="00D44260" w:rsidRDefault="00D44260" w:rsidP="00D44260">
      <w:pPr>
        <w:spacing w:after="0" w:line="280" w:lineRule="exact"/>
        <w:ind w:left="851" w:right="851" w:firstLine="552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Совета депутатов</w:t>
      </w:r>
    </w:p>
    <w:p w:rsidR="006F3EED" w:rsidRDefault="00D44260" w:rsidP="008D2F5A">
      <w:pPr>
        <w:spacing w:after="0" w:line="240" w:lineRule="auto"/>
        <w:ind w:left="851" w:right="851" w:firstLine="552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="00A10A12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="005E56FF">
        <w:rPr>
          <w:rFonts w:ascii="Times New Roman" w:eastAsia="Times New Roman" w:hAnsi="Times New Roman" w:cs="Times New Roman"/>
          <w:sz w:val="30"/>
          <w:szCs w:val="30"/>
          <w:lang w:eastAsia="ru-RU"/>
        </w:rPr>
        <w:t>.06.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2020 № </w:t>
      </w:r>
      <w:r w:rsidR="00A10A12">
        <w:rPr>
          <w:rFonts w:ascii="Times New Roman" w:eastAsia="Times New Roman" w:hAnsi="Times New Roman" w:cs="Times New Roman"/>
          <w:sz w:val="30"/>
          <w:szCs w:val="30"/>
          <w:lang w:eastAsia="ru-RU"/>
        </w:rPr>
        <w:t>121</w:t>
      </w:r>
    </w:p>
    <w:p w:rsidR="008D2F5A" w:rsidRDefault="006F3EED" w:rsidP="008D2F5A">
      <w:pPr>
        <w:spacing w:after="0" w:line="240" w:lineRule="auto"/>
        <w:ind w:left="851" w:right="851" w:firstLine="552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</w:t>
      </w:r>
      <w:r w:rsidR="00BE4C76" w:rsidRPr="00BF409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8D2F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редакции </w:t>
      </w:r>
      <w:r w:rsidR="000928F9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8D2F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ешения Городокского </w:t>
      </w:r>
    </w:p>
    <w:p w:rsidR="000928F9" w:rsidRDefault="006F3EED" w:rsidP="008D2F5A">
      <w:pPr>
        <w:spacing w:after="0" w:line="240" w:lineRule="auto"/>
        <w:ind w:left="851" w:right="851" w:firstLine="552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районного </w:t>
      </w:r>
      <w:r w:rsidR="008D2F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Совета депутатов </w:t>
      </w:r>
    </w:p>
    <w:p w:rsidR="00D44260" w:rsidRPr="008D2F5A" w:rsidRDefault="000928F9" w:rsidP="008D2F5A">
      <w:pPr>
        <w:spacing w:after="0" w:line="240" w:lineRule="auto"/>
        <w:ind w:left="851" w:right="851" w:firstLine="552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F856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</w:t>
      </w:r>
      <w:r w:rsidR="0050091A"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  <w:r w:rsidR="00F856A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F77B8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0A1B66" w:rsidRPr="006F3EED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DF77B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="0050091A">
        <w:rPr>
          <w:rFonts w:ascii="Times New Roman" w:eastAsia="Times New Roman" w:hAnsi="Times New Roman" w:cs="Times New Roman"/>
          <w:sz w:val="30"/>
          <w:szCs w:val="30"/>
          <w:lang w:eastAsia="ru-RU"/>
        </w:rPr>
        <w:t>338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8D2F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            </w:t>
      </w:r>
    </w:p>
    <w:p w:rsidR="00D44260" w:rsidRPr="00D44260" w:rsidRDefault="00D44260" w:rsidP="00D44260">
      <w:pPr>
        <w:spacing w:after="0" w:line="280" w:lineRule="exact"/>
        <w:ind w:left="851" w:right="851" w:firstLine="552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6621"/>
      </w:tblGrid>
      <w:tr w:rsidR="00D44260" w:rsidRPr="00D44260" w:rsidTr="00E35D41">
        <w:tc>
          <w:tcPr>
            <w:tcW w:w="7088" w:type="dxa"/>
          </w:tcPr>
          <w:p w:rsidR="00D44260" w:rsidRPr="00D44260" w:rsidRDefault="00D44260" w:rsidP="00D44260">
            <w:pPr>
              <w:spacing w:line="280" w:lineRule="exact"/>
              <w:ind w:right="85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РЕГИОНАЛЬНЫЙ КОМПЛЕКС</w:t>
            </w:r>
          </w:p>
          <w:p w:rsidR="00D44260" w:rsidRPr="00D44260" w:rsidRDefault="00D44260" w:rsidP="00D44260">
            <w:pPr>
              <w:spacing w:line="280" w:lineRule="exact"/>
              <w:ind w:right="85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мероприятий по реализации Государственной</w:t>
            </w:r>
          </w:p>
          <w:p w:rsidR="00D44260" w:rsidRPr="00D44260" w:rsidRDefault="00D44260" w:rsidP="00D44260">
            <w:pPr>
              <w:spacing w:line="280" w:lineRule="exact"/>
              <w:ind w:right="8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программы  ”Управление   государственными</w:t>
            </w:r>
          </w:p>
          <w:p w:rsidR="00D44260" w:rsidRPr="00D44260" w:rsidRDefault="00D44260" w:rsidP="00F856A6">
            <w:pPr>
              <w:spacing w:line="280" w:lineRule="exact"/>
              <w:ind w:right="85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финансами    и   регулирование   финансового рынка“ на 202</w:t>
            </w:r>
            <w:r w:rsidR="002C63F2" w:rsidRPr="002C63F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D442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год и на период  до 2025  года</w:t>
            </w:r>
          </w:p>
        </w:tc>
        <w:tc>
          <w:tcPr>
            <w:tcW w:w="6621" w:type="dxa"/>
          </w:tcPr>
          <w:p w:rsidR="00D44260" w:rsidRPr="00D44260" w:rsidRDefault="00D44260" w:rsidP="00D44260">
            <w:pPr>
              <w:spacing w:line="360" w:lineRule="auto"/>
              <w:ind w:right="85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D44260" w:rsidRPr="00D44260" w:rsidRDefault="00D44260" w:rsidP="00D44260">
      <w:pPr>
        <w:spacing w:after="0" w:line="360" w:lineRule="auto"/>
        <w:ind w:right="-28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1. Основные цели регионального комплекса мероприятий по реализации</w:t>
      </w:r>
      <w:r w:rsidRPr="00D44260">
        <w:rPr>
          <w:rFonts w:ascii="Times New Roman" w:hAnsi="Times New Roman" w:cs="Times New Roman"/>
          <w:sz w:val="30"/>
          <w:szCs w:val="30"/>
        </w:rPr>
        <w:t xml:space="preserve"> 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Государственной программы ”Управление государственными финансами и регулирование финансового рынка“ на 202</w:t>
      </w:r>
      <w:r w:rsidR="00681214" w:rsidRPr="00681214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и на период до   2025 года (далее – региональная программа) – обеспечение на территории </w:t>
      </w:r>
      <w:r w:rsidR="00E35D41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Городокского района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долгосрочной сбалансированности и устойчивости консолидированного бюджета </w:t>
      </w:r>
      <w:r w:rsidR="005B213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повышение качества управления средствами</w:t>
      </w:r>
      <w:r w:rsidR="005E56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развитие рынка ценных бумаг.  </w:t>
      </w: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достижения этих целей необходимо выполнение следующих задач:</w:t>
      </w: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</w:t>
      </w:r>
      <w:bookmarkStart w:id="0" w:name="_Hlk36033636"/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подпрограммы 1 </w:t>
      </w:r>
      <w:r w:rsidRPr="00D4426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”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устойчивости бюджетной системы и повышение эффективности управления государственными финансами</w:t>
      </w:r>
      <w:bookmarkStart w:id="1" w:name="_Hlk36033823"/>
      <w:r w:rsidRPr="00D4426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“</w:t>
      </w:r>
      <w:bookmarkEnd w:id="1"/>
      <w:r w:rsidRPr="00D4426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:</w:t>
      </w:r>
      <w:bookmarkEnd w:id="0"/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сба</w:t>
      </w:r>
      <w:r w:rsidR="005E56FF">
        <w:rPr>
          <w:rFonts w:ascii="Times New Roman" w:eastAsia="Times New Roman" w:hAnsi="Times New Roman" w:cs="Times New Roman"/>
          <w:sz w:val="30"/>
          <w:szCs w:val="30"/>
          <w:lang w:eastAsia="ru-RU"/>
        </w:rPr>
        <w:t>лансированности  бюджета района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 пределах имеющихся доходов и источников финансирования дефицита (размера профицита) бюджета;</w:t>
      </w: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эффективности бюджетного планирования и бюджетных расходов;</w:t>
      </w: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выравнивание финансовых возможностей бюджетов</w:t>
      </w:r>
      <w:r w:rsidR="000B4C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первичного уровня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 стимулирование </w:t>
      </w:r>
      <w:r w:rsidR="000B4CFE">
        <w:rPr>
          <w:rFonts w:ascii="Times New Roman" w:eastAsia="Times New Roman" w:hAnsi="Times New Roman" w:cs="Times New Roman"/>
          <w:sz w:val="30"/>
          <w:szCs w:val="30"/>
          <w:lang w:eastAsia="ru-RU"/>
        </w:rPr>
        <w:t>бюджета района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 наращиванию собственной доходной базы;</w:t>
      </w: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внедрение современных подходов и технологий в сфере управления государственными финансами;</w:t>
      </w: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рамках подпрограммы 2 </w:t>
      </w:r>
      <w:r w:rsidRPr="00D4426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”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государственным долгом, долгом органов местного управления и самоуправления</w:t>
      </w:r>
      <w:r w:rsidRPr="00D4426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“ –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сохра</w:t>
      </w:r>
      <w:r w:rsidR="000B4CF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нение долговой нагрузки бюджета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</w:t>
      </w:r>
      <w:r w:rsidR="000B4CFE">
        <w:rPr>
          <w:rFonts w:ascii="Times New Roman" w:eastAsia="Times New Roman" w:hAnsi="Times New Roman" w:cs="Times New Roman"/>
          <w:sz w:val="30"/>
          <w:szCs w:val="30"/>
          <w:lang w:eastAsia="ru-RU"/>
        </w:rPr>
        <w:t>айона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 экономически безопасном уровне;</w:t>
      </w: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подпрограммы 4 </w:t>
      </w:r>
      <w:bookmarkStart w:id="2" w:name="_Hlk36033924"/>
      <w:r w:rsidRPr="00D4426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”</w:t>
      </w:r>
      <w:bookmarkEnd w:id="2"/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Эффективное функционирование рынка ценных бумаг</w:t>
      </w:r>
      <w:r w:rsidRPr="00D4426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“ – 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рынка акций.</w:t>
      </w:r>
    </w:p>
    <w:p w:rsidR="00D44260" w:rsidRPr="00D44260" w:rsidRDefault="00D44260" w:rsidP="00D44260">
      <w:pPr>
        <w:spacing w:after="0" w:line="240" w:lineRule="auto"/>
        <w:ind w:left="851" w:right="-31" w:hanging="14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>2. Целевые показатели региональной программы:</w:t>
      </w:r>
    </w:p>
    <w:p w:rsidR="00D44260" w:rsidRPr="00D44260" w:rsidRDefault="00D44260" w:rsidP="00D44260">
      <w:pPr>
        <w:spacing w:after="0" w:line="240" w:lineRule="auto"/>
        <w:ind w:left="851" w:right="-3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5810"/>
        <w:gridCol w:w="6"/>
        <w:gridCol w:w="1695"/>
        <w:gridCol w:w="6"/>
        <w:gridCol w:w="989"/>
        <w:gridCol w:w="994"/>
        <w:gridCol w:w="993"/>
        <w:gridCol w:w="993"/>
        <w:gridCol w:w="992"/>
        <w:gridCol w:w="995"/>
      </w:tblGrid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  <w:vMerge w:val="restart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10" w:type="dxa"/>
            <w:vMerge w:val="restart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целевых показателей</w:t>
            </w:r>
          </w:p>
        </w:tc>
        <w:tc>
          <w:tcPr>
            <w:tcW w:w="1701" w:type="dxa"/>
            <w:gridSpan w:val="2"/>
            <w:vMerge w:val="restart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5962" w:type="dxa"/>
            <w:gridSpan w:val="7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Значения показателей по годам</w:t>
            </w: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  <w:vMerge/>
          </w:tcPr>
          <w:p w:rsidR="00D44260" w:rsidRPr="00D44260" w:rsidRDefault="00D44260" w:rsidP="00D44260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0" w:type="dxa"/>
            <w:vMerge/>
          </w:tcPr>
          <w:p w:rsidR="00D44260" w:rsidRPr="00D44260" w:rsidRDefault="00D44260" w:rsidP="00D44260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44260" w:rsidRPr="00D44260" w:rsidRDefault="00D44260" w:rsidP="00D44260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994" w:type="dxa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2" w:type="dxa"/>
          </w:tcPr>
          <w:p w:rsidR="00D44260" w:rsidRPr="00D44260" w:rsidRDefault="00D44260" w:rsidP="00D44260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95" w:type="dxa"/>
          </w:tcPr>
          <w:p w:rsidR="00D44260" w:rsidRPr="00D44260" w:rsidRDefault="00D44260" w:rsidP="00D44260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</w:tr>
      <w:tr w:rsidR="00D44260" w:rsidRPr="00D44260" w:rsidTr="00E35D41">
        <w:trPr>
          <w:cantSplit/>
          <w:trHeight w:val="20"/>
          <w:jc w:val="center"/>
        </w:trPr>
        <w:tc>
          <w:tcPr>
            <w:tcW w:w="14598" w:type="dxa"/>
            <w:gridSpan w:val="11"/>
          </w:tcPr>
          <w:p w:rsidR="00D44260" w:rsidRPr="00D44260" w:rsidRDefault="00D44260" w:rsidP="00D44260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1 ”Обеспечение устойчивости бюджетной системы и повышение эффективности управления государственными финансами“</w:t>
            </w:r>
          </w:p>
        </w:tc>
      </w:tr>
      <w:tr w:rsidR="00D44260" w:rsidRPr="00D44260" w:rsidTr="00E35D41">
        <w:trPr>
          <w:cantSplit/>
          <w:trHeight w:val="20"/>
          <w:jc w:val="center"/>
        </w:trPr>
        <w:tc>
          <w:tcPr>
            <w:tcW w:w="14598" w:type="dxa"/>
            <w:gridSpan w:val="11"/>
          </w:tcPr>
          <w:p w:rsidR="00D44260" w:rsidRPr="00D44260" w:rsidRDefault="00D44260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Задача 1. Обеспечение сбалансированности </w:t>
            </w:r>
            <w:r w:rsidR="00DD60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районного бюджета 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 пределах имеющихся доходов и источников финансирования дефицита (размера профицита) бюджета</w:t>
            </w:r>
          </w:p>
        </w:tc>
      </w:tr>
      <w:tr w:rsidR="00F856A6" w:rsidRPr="00D44260" w:rsidTr="00F856A6">
        <w:trPr>
          <w:cantSplit/>
          <w:trHeight w:val="20"/>
          <w:jc w:val="center"/>
        </w:trPr>
        <w:tc>
          <w:tcPr>
            <w:tcW w:w="1125" w:type="dxa"/>
          </w:tcPr>
          <w:p w:rsidR="00F856A6" w:rsidRPr="00D44260" w:rsidRDefault="00F856A6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1.(6.)*</w:t>
            </w:r>
          </w:p>
        </w:tc>
        <w:tc>
          <w:tcPr>
            <w:tcW w:w="5816" w:type="dxa"/>
            <w:gridSpan w:val="2"/>
          </w:tcPr>
          <w:p w:rsidR="00F856A6" w:rsidRPr="00D44260" w:rsidRDefault="00F856A6" w:rsidP="00E609E1">
            <w:pPr>
              <w:spacing w:after="0" w:line="280" w:lineRule="exact"/>
              <w:ind w:right="-97" w:firstLine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Отношение дефицита </w:t>
            </w:r>
            <w:r w:rsid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</w:t>
            </w:r>
            <w:r w:rsid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ВВП**</w:t>
            </w:r>
          </w:p>
        </w:tc>
        <w:tc>
          <w:tcPr>
            <w:tcW w:w="1701" w:type="dxa"/>
            <w:gridSpan w:val="2"/>
          </w:tcPr>
          <w:p w:rsidR="00F856A6" w:rsidRDefault="00F856A6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роцентов</w:t>
            </w:r>
          </w:p>
          <w:p w:rsidR="00F856A6" w:rsidRPr="00D44260" w:rsidRDefault="00F856A6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(не более)</w:t>
            </w:r>
          </w:p>
        </w:tc>
        <w:tc>
          <w:tcPr>
            <w:tcW w:w="989" w:type="dxa"/>
          </w:tcPr>
          <w:p w:rsidR="00F856A6" w:rsidRPr="00D44260" w:rsidRDefault="00F856A6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994" w:type="dxa"/>
          </w:tcPr>
          <w:p w:rsidR="00F856A6" w:rsidRPr="00D44260" w:rsidRDefault="00F856A6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993" w:type="dxa"/>
          </w:tcPr>
          <w:p w:rsidR="00F856A6" w:rsidRPr="00D44260" w:rsidRDefault="00F856A6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</w:t>
            </w:r>
          </w:p>
        </w:tc>
        <w:tc>
          <w:tcPr>
            <w:tcW w:w="993" w:type="dxa"/>
          </w:tcPr>
          <w:p w:rsidR="00F856A6" w:rsidRPr="00D44260" w:rsidRDefault="00F856A6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C60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,1</w:t>
            </w:r>
          </w:p>
        </w:tc>
        <w:tc>
          <w:tcPr>
            <w:tcW w:w="992" w:type="dxa"/>
          </w:tcPr>
          <w:p w:rsidR="00F856A6" w:rsidRPr="00D44260" w:rsidRDefault="00F856A6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5" w:type="dxa"/>
          </w:tcPr>
          <w:p w:rsidR="00F856A6" w:rsidRPr="00D44260" w:rsidRDefault="00F856A6" w:rsidP="00DD60BB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(10.)</w:t>
            </w:r>
            <w:r w:rsid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</w:tcPr>
          <w:p w:rsidR="00D44260" w:rsidRPr="00D44260" w:rsidRDefault="00D44260" w:rsidP="00D44260">
            <w:pPr>
              <w:spacing w:after="0" w:line="280" w:lineRule="exac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Отношение кредиторской задолженности по средствам </w:t>
            </w:r>
            <w:r w:rsidR="00DD60BB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районного</w:t>
            </w: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бюджет</w:t>
            </w:r>
            <w:r w:rsidR="00DD60BB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а</w:t>
            </w: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к расходам</w:t>
            </w:r>
            <w:r w:rsidR="00DD60BB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районного</w:t>
            </w: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бюджет</w:t>
            </w:r>
            <w:r w:rsidR="00DD60BB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а</w:t>
            </w:r>
          </w:p>
          <w:p w:rsidR="00D44260" w:rsidRPr="00D44260" w:rsidRDefault="00D44260" w:rsidP="00D44260">
            <w:pPr>
              <w:spacing w:after="0" w:line="280" w:lineRule="exact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(не более)</w:t>
            </w:r>
          </w:p>
        </w:tc>
        <w:tc>
          <w:tcPr>
            <w:tcW w:w="995" w:type="dxa"/>
            <w:gridSpan w:val="2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4" w:type="dxa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D44260" w:rsidRPr="00D44260" w:rsidRDefault="00D44260" w:rsidP="00D44260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5" w:type="dxa"/>
          </w:tcPr>
          <w:p w:rsidR="00D44260" w:rsidRPr="00D44260" w:rsidRDefault="00D44260" w:rsidP="00D44260">
            <w:pPr>
              <w:spacing w:after="0" w:line="280" w:lineRule="exact"/>
              <w:ind w:right="-97" w:firstLine="3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D44260" w:rsidRDefault="00F856A6" w:rsidP="00F8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 w:rsid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Отношение объема неисполненных организациями реального сектора экономики в соответствующем финансовом году обязательств по возврату в </w:t>
            </w:r>
            <w:r w:rsidR="00DD60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 ссуд, займов и обязательств по договорам уступки требования на бюджет, а также по кредитам, выданным под гарантии местных исполнительных и распорядительных органов, в сроки, установленные в соответствии с заключенными договорами, к доходам соответствующего бюджета</w:t>
            </w:r>
          </w:p>
        </w:tc>
        <w:tc>
          <w:tcPr>
            <w:tcW w:w="1701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(не более)</w:t>
            </w:r>
          </w:p>
        </w:tc>
        <w:tc>
          <w:tcPr>
            <w:tcW w:w="995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5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44260" w:rsidRPr="00D44260" w:rsidTr="00E35D41">
        <w:trPr>
          <w:cantSplit/>
          <w:trHeight w:val="20"/>
          <w:jc w:val="center"/>
        </w:trPr>
        <w:tc>
          <w:tcPr>
            <w:tcW w:w="14598" w:type="dxa"/>
            <w:gridSpan w:val="11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 2. Повышение эффективности бюджетного планирования и бюджетных расходов</w:t>
            </w: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D44260" w:rsidRDefault="00E609E1" w:rsidP="00E6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Отклонение фактических параметров доходов и расходов </w:t>
            </w:r>
            <w:r w:rsidR="00DD60BB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</w:t>
            </w:r>
            <w:r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</w:t>
            </w:r>
            <w:r w:rsidR="00DD60BB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утвержденных параметров на соответствующий финансовый год (при условии отклонения важнейших параметров социально-экономического развития Республики Беларусь от их прогнозных значений на соответствующий финансовый год не более чем на 5 процентов)</w:t>
            </w:r>
            <w:r w:rsidRPr="000A38C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процентов </w:t>
            </w:r>
            <w:r w:rsidR="00190F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не более)</w:t>
            </w:r>
          </w:p>
        </w:tc>
        <w:tc>
          <w:tcPr>
            <w:tcW w:w="995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3" w:type="dxa"/>
          </w:tcPr>
          <w:p w:rsidR="00D44260" w:rsidRPr="00D44260" w:rsidRDefault="00F25E2E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2" w:type="dxa"/>
          </w:tcPr>
          <w:p w:rsidR="00D44260" w:rsidRPr="00D44260" w:rsidRDefault="00F25E2E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95" w:type="dxa"/>
          </w:tcPr>
          <w:p w:rsidR="00D44260" w:rsidRPr="00D44260" w:rsidRDefault="00F25E2E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D44260" w:rsidRDefault="00E609E1" w:rsidP="00E6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расходов </w:t>
            </w:r>
            <w:r w:rsidR="00DD60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</w:t>
            </w:r>
            <w:r w:rsidR="00DD60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планируемых с использованием нормативов расходов в расчете на одного потребителя услуги и (или) в отрасли, в общем объеме расходов </w:t>
            </w:r>
            <w:r w:rsidR="00DD60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</w:t>
            </w:r>
            <w:r w:rsidR="00DD60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соответствующему направлению (без учета расходов на капитальное строительство),       </w:t>
            </w:r>
            <w:r w:rsidR="003730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в том числе на: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культуру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физическую культуру и спорт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социальную защиту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здравоохранение 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сельское хозяйство и рыбохозяйственную 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(не менее)</w:t>
            </w:r>
          </w:p>
        </w:tc>
        <w:tc>
          <w:tcPr>
            <w:tcW w:w="995" w:type="dxa"/>
            <w:gridSpan w:val="2"/>
          </w:tcPr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7023F2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7023F2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4" w:type="dxa"/>
          </w:tcPr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7023F2" w:rsidP="00FE6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0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E609E1" w:rsidRDefault="007023F2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  <w:p w:rsidR="00D44260" w:rsidRPr="00E609E1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3F2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3F2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3F2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  <w:p w:rsidR="00D44260" w:rsidRPr="0037309F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3F2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3F2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190F97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CBF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3F2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190F97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CBF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023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5" w:type="dxa"/>
          </w:tcPr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3F2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E609E1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260" w:rsidRPr="0037309F" w:rsidRDefault="00702CBF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023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D44260" w:rsidRPr="0037309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D44260" w:rsidRDefault="00E609E1" w:rsidP="00E6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”бюджетов для граждан“, разработанных местными исполнительными и распорядительными органами</w:t>
            </w:r>
          </w:p>
        </w:tc>
        <w:tc>
          <w:tcPr>
            <w:tcW w:w="1701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995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D44260" w:rsidRPr="00D44260" w:rsidRDefault="00DD60BB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D44260" w:rsidRPr="00D44260" w:rsidRDefault="00DD60BB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5" w:type="dxa"/>
          </w:tcPr>
          <w:p w:rsidR="00D44260" w:rsidRPr="00D44260" w:rsidRDefault="00DD60BB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44260" w:rsidRPr="00D44260" w:rsidTr="00E35D41">
        <w:trPr>
          <w:cantSplit/>
          <w:trHeight w:val="20"/>
          <w:jc w:val="center"/>
        </w:trPr>
        <w:tc>
          <w:tcPr>
            <w:tcW w:w="14598" w:type="dxa"/>
            <w:gridSpan w:val="11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Задача 3. Выравнивание финансовых возможностей бюджет</w:t>
            </w:r>
            <w:r w:rsidR="00DD60BB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а района</w:t>
            </w: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и стимулирование </w:t>
            </w:r>
            <w:r w:rsidR="00DD60BB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района</w:t>
            </w:r>
            <w:r w:rsidRPr="00D4426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к наращиванию собственной доходной базы</w:t>
            </w:r>
          </w:p>
        </w:tc>
      </w:tr>
      <w:tr w:rsidR="00F12F1D" w:rsidRPr="00AE217E" w:rsidTr="003E75B6">
        <w:trPr>
          <w:cantSplit/>
          <w:trHeight w:val="20"/>
          <w:jc w:val="center"/>
        </w:trPr>
        <w:tc>
          <w:tcPr>
            <w:tcW w:w="1125" w:type="dxa"/>
          </w:tcPr>
          <w:p w:rsidR="00F12F1D" w:rsidRPr="00AE217E" w:rsidRDefault="00F12F1D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 (21.)*</w:t>
            </w:r>
          </w:p>
        </w:tc>
        <w:tc>
          <w:tcPr>
            <w:tcW w:w="5810" w:type="dxa"/>
          </w:tcPr>
          <w:p w:rsidR="00F12F1D" w:rsidRPr="00AE217E" w:rsidRDefault="00F12F1D" w:rsidP="00F1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Удельный вес собственных доходов бюджета района в общем объеме их доходов</w:t>
            </w:r>
          </w:p>
          <w:p w:rsidR="00F12F1D" w:rsidRPr="00AE217E" w:rsidRDefault="00F12F1D" w:rsidP="00F1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F12F1D" w:rsidRPr="00AE217E" w:rsidRDefault="00F12F1D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1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(не менее)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3E75B6" w:rsidRDefault="00F12F1D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75B6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3E75B6" w:rsidRDefault="00F12F1D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E75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F7A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3E75B6" w:rsidRDefault="00F12F1D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75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E68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3E75B6" w:rsidRDefault="00F12F1D" w:rsidP="00F12F1D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75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E68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3E75B6" w:rsidRDefault="002E683F" w:rsidP="00F12F1D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3E75B6" w:rsidRDefault="002E683F" w:rsidP="00F12F1D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D44260" w:rsidRDefault="00F96E8D" w:rsidP="00F9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бюджетов</w:t>
            </w:r>
            <w:r w:rsidR="009159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дотацией свыше         40 процентов доходов соответствующего бюджета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44260" w:rsidRPr="00D44260" w:rsidRDefault="00D44260" w:rsidP="00F9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единиц      (не </w:t>
            </w:r>
            <w:r w:rsidR="00F96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более)</w:t>
            </w:r>
          </w:p>
        </w:tc>
        <w:tc>
          <w:tcPr>
            <w:tcW w:w="995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5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D44260" w:rsidRDefault="00F96E8D" w:rsidP="00F9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</w:t>
            </w:r>
            <w:r w:rsidR="00F96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ичество бездотационных бюджетов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единиц </w:t>
            </w:r>
          </w:p>
          <w:p w:rsidR="00D44260" w:rsidRPr="00D44260" w:rsidRDefault="00F96E8D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(не более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5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4" w:type="dxa"/>
          </w:tcPr>
          <w:p w:rsidR="00D44260" w:rsidRPr="00D44260" w:rsidRDefault="00F96E8D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3" w:type="dxa"/>
          </w:tcPr>
          <w:p w:rsidR="00D44260" w:rsidRPr="00D44260" w:rsidRDefault="00D2382F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3" w:type="dxa"/>
          </w:tcPr>
          <w:p w:rsidR="00D44260" w:rsidRPr="00D44260" w:rsidRDefault="00D2382F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2" w:type="dxa"/>
          </w:tcPr>
          <w:p w:rsidR="00D44260" w:rsidRPr="00D44260" w:rsidRDefault="00D2382F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95" w:type="dxa"/>
          </w:tcPr>
          <w:p w:rsidR="00D44260" w:rsidRPr="00D44260" w:rsidRDefault="00D2382F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D44260" w:rsidRPr="00D44260" w:rsidTr="00E35D41">
        <w:trPr>
          <w:cantSplit/>
          <w:trHeight w:val="20"/>
          <w:jc w:val="center"/>
        </w:trPr>
        <w:tc>
          <w:tcPr>
            <w:tcW w:w="14598" w:type="dxa"/>
            <w:gridSpan w:val="11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2 ”Управление государственным долгом, долгом органов местного управления и самоуправления“</w:t>
            </w:r>
          </w:p>
        </w:tc>
      </w:tr>
      <w:tr w:rsidR="00D44260" w:rsidRPr="00D44260" w:rsidTr="00E35D41">
        <w:trPr>
          <w:cantSplit/>
          <w:trHeight w:val="20"/>
          <w:jc w:val="center"/>
        </w:trPr>
        <w:tc>
          <w:tcPr>
            <w:tcW w:w="14598" w:type="dxa"/>
            <w:gridSpan w:val="11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 4. Сохранение долговой нагрузки бюджет</w:t>
            </w:r>
            <w:r w:rsidR="009159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</w:t>
            </w:r>
            <w:r w:rsidR="009159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айона</w:t>
            </w: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экономически безопасном уровне</w:t>
            </w: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  <w:shd w:val="clear" w:color="auto" w:fill="FFFFFF" w:themeFill="background1"/>
          </w:tcPr>
          <w:p w:rsidR="00D44260" w:rsidRPr="00D44260" w:rsidRDefault="00F96E8D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(38</w:t>
            </w:r>
            <w:r w:rsidR="00D44260"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  <w:shd w:val="clear" w:color="auto" w:fill="FFFFFF" w:themeFill="background1"/>
          </w:tcPr>
          <w:p w:rsidR="00D44260" w:rsidRPr="00953893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38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административно-территориальных единиц, долг которых превышает уровень экономической безопасности, установленный законодательством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      (не более)</w:t>
            </w:r>
          </w:p>
        </w:tc>
        <w:tc>
          <w:tcPr>
            <w:tcW w:w="995" w:type="dxa"/>
            <w:gridSpan w:val="2"/>
            <w:shd w:val="clear" w:color="auto" w:fill="FFFFFF" w:themeFill="background1"/>
          </w:tcPr>
          <w:p w:rsidR="00D44260" w:rsidRPr="00F60F4F" w:rsidRDefault="00F96E8D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D44260" w:rsidRPr="00F60F4F" w:rsidRDefault="00F96E8D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D44260" w:rsidRPr="00F60F4F" w:rsidRDefault="00F96E8D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D44260" w:rsidRPr="00F60F4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D44260" w:rsidRPr="00F60F4F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5" w:type="dxa"/>
            <w:shd w:val="clear" w:color="auto" w:fill="FFFFFF" w:themeFill="background1"/>
          </w:tcPr>
          <w:p w:rsidR="00D44260" w:rsidRPr="00153762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F60F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D44260" w:rsidRPr="008170D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8170D0" w:rsidRDefault="00D44260" w:rsidP="00F9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96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</w:t>
            </w:r>
            <w:r w:rsidR="00F96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 w:rsidR="00F96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</w:tcPr>
          <w:p w:rsidR="00D44260" w:rsidRPr="008170D0" w:rsidRDefault="00D44260" w:rsidP="00D44260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расходов по обслуживанию и погашению долговых обязательств органов местного управления и самоуправления в общем объеме доходов </w:t>
            </w:r>
            <w:r w:rsidR="009159C8"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</w:t>
            </w: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</w:t>
            </w:r>
            <w:r w:rsidR="009159C8"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 учета субвенций и межбюджетных трансфертов, передаваемых в другие бюджеты</w:t>
            </w:r>
          </w:p>
          <w:p w:rsidR="00D44260" w:rsidRPr="008170D0" w:rsidRDefault="00D44260" w:rsidP="00D44260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44260" w:rsidRPr="008170D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(не более)</w:t>
            </w:r>
          </w:p>
        </w:tc>
        <w:tc>
          <w:tcPr>
            <w:tcW w:w="995" w:type="dxa"/>
            <w:gridSpan w:val="2"/>
          </w:tcPr>
          <w:p w:rsidR="00D44260" w:rsidRPr="008170D0" w:rsidRDefault="00CA4035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994" w:type="dxa"/>
          </w:tcPr>
          <w:p w:rsidR="00D44260" w:rsidRPr="00691FC0" w:rsidRDefault="000233EB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F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993" w:type="dxa"/>
          </w:tcPr>
          <w:p w:rsidR="00D44260" w:rsidRPr="00691FC0" w:rsidRDefault="00E10899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F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</w:t>
            </w:r>
          </w:p>
        </w:tc>
        <w:tc>
          <w:tcPr>
            <w:tcW w:w="993" w:type="dxa"/>
          </w:tcPr>
          <w:p w:rsidR="00D44260" w:rsidRPr="00691FC0" w:rsidRDefault="00E10899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91F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</w:t>
            </w:r>
            <w:r w:rsidR="00691FC0" w:rsidRPr="00691F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44260" w:rsidRPr="00691FC0" w:rsidRDefault="00691FC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1FC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691F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</w:p>
        </w:tc>
        <w:tc>
          <w:tcPr>
            <w:tcW w:w="995" w:type="dxa"/>
          </w:tcPr>
          <w:p w:rsidR="00D44260" w:rsidRPr="00691FC0" w:rsidRDefault="00D4226A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2,5</w:t>
            </w:r>
          </w:p>
        </w:tc>
      </w:tr>
      <w:tr w:rsidR="00D44260" w:rsidRPr="008170D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8170D0" w:rsidRDefault="00F96E8D" w:rsidP="00F9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D44260"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44260"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5810" w:type="dxa"/>
          </w:tcPr>
          <w:p w:rsidR="00D44260" w:rsidRPr="008170D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Совокупный объем долга органов местного управления и самоуправления и долга, гарантированного местными исполнительными и распорядительными органами, в общем объеме доходов </w:t>
            </w:r>
            <w:r w:rsidR="009159C8"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</w:t>
            </w: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</w:t>
            </w:r>
            <w:r w:rsidR="009159C8"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без учета субвенций и межбюджетных трансфертов, передаваемых в другие бюджеты</w:t>
            </w:r>
          </w:p>
        </w:tc>
        <w:tc>
          <w:tcPr>
            <w:tcW w:w="1701" w:type="dxa"/>
            <w:gridSpan w:val="2"/>
          </w:tcPr>
          <w:p w:rsidR="00D44260" w:rsidRPr="008170D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8170D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процентов (не более)</w:t>
            </w:r>
          </w:p>
        </w:tc>
        <w:tc>
          <w:tcPr>
            <w:tcW w:w="995" w:type="dxa"/>
            <w:gridSpan w:val="2"/>
          </w:tcPr>
          <w:p w:rsidR="00D44260" w:rsidRPr="008170D0" w:rsidRDefault="00E07EEB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8170D0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2,74</w:t>
            </w:r>
          </w:p>
        </w:tc>
        <w:tc>
          <w:tcPr>
            <w:tcW w:w="994" w:type="dxa"/>
          </w:tcPr>
          <w:p w:rsidR="00D44260" w:rsidRPr="008170D0" w:rsidRDefault="00E07EEB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</w:t>
            </w:r>
            <w:r w:rsidR="00691F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</w:tcPr>
          <w:p w:rsidR="00D44260" w:rsidRPr="008170D0" w:rsidRDefault="00691FC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993" w:type="dxa"/>
          </w:tcPr>
          <w:p w:rsidR="00D44260" w:rsidRPr="008170D0" w:rsidRDefault="00691FC0" w:rsidP="00D44260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992" w:type="dxa"/>
          </w:tcPr>
          <w:p w:rsidR="00D44260" w:rsidRPr="008170D0" w:rsidRDefault="00691FC0" w:rsidP="00D44260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995" w:type="dxa"/>
          </w:tcPr>
          <w:p w:rsidR="00D44260" w:rsidRPr="008170D0" w:rsidRDefault="00691FC0" w:rsidP="00D44260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44260" w:rsidRPr="00D44260" w:rsidTr="00F856A6">
        <w:trPr>
          <w:cantSplit/>
          <w:trHeight w:val="20"/>
          <w:jc w:val="center"/>
        </w:trPr>
        <w:tc>
          <w:tcPr>
            <w:tcW w:w="1125" w:type="dxa"/>
          </w:tcPr>
          <w:p w:rsidR="00D44260" w:rsidRPr="00D44260" w:rsidRDefault="00F96E8D" w:rsidP="00F9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D44260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(4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44260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5810" w:type="dxa"/>
          </w:tcPr>
          <w:p w:rsidR="009159C8" w:rsidRPr="00D44260" w:rsidRDefault="00D44260" w:rsidP="0091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долга, гарантированного местными исполнительными и распорядительными органами</w:t>
            </w:r>
            <w:r w:rsidR="00026A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(к предыдущему году)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 (не более)</w:t>
            </w:r>
          </w:p>
        </w:tc>
        <w:tc>
          <w:tcPr>
            <w:tcW w:w="995" w:type="dxa"/>
            <w:gridSpan w:val="2"/>
          </w:tcPr>
          <w:p w:rsidR="00D44260" w:rsidRPr="000A38C1" w:rsidRDefault="00881FE9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026A16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4" w:type="dxa"/>
          </w:tcPr>
          <w:p w:rsidR="00D44260" w:rsidRPr="000A38C1" w:rsidRDefault="00881FE9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026A16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D44260" w:rsidRPr="000A38C1" w:rsidRDefault="00881FE9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026A16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D44260" w:rsidRPr="000A38C1" w:rsidRDefault="00881FE9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D44260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2" w:type="dxa"/>
          </w:tcPr>
          <w:p w:rsidR="00D44260" w:rsidRPr="000A38C1" w:rsidRDefault="00881FE9" w:rsidP="00026A16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D44260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5" w:type="dxa"/>
          </w:tcPr>
          <w:p w:rsidR="00D44260" w:rsidRPr="000A38C1" w:rsidRDefault="00881FE9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D44260" w:rsidRPr="000A38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D44260" w:rsidRPr="00D44260" w:rsidRDefault="00D44260" w:rsidP="00D44260">
      <w:pPr>
        <w:spacing w:after="0" w:line="240" w:lineRule="auto"/>
        <w:ind w:left="851" w:right="851"/>
        <w:jc w:val="both"/>
        <w:rPr>
          <w:rFonts w:ascii="Times New Roman" w:eastAsiaTheme="minorEastAsia" w:hAnsi="Times New Roman" w:cs="Times New Roman"/>
          <w:sz w:val="26"/>
          <w:szCs w:val="26"/>
          <w:vertAlign w:val="superscript"/>
          <w:lang w:eastAsia="ru-RU"/>
        </w:rPr>
      </w:pPr>
      <w:bookmarkStart w:id="3" w:name="_Hlk35957766"/>
    </w:p>
    <w:p w:rsidR="00D44260" w:rsidRPr="00D44260" w:rsidRDefault="00D44260" w:rsidP="00D44260">
      <w:pPr>
        <w:spacing w:after="0" w:line="240" w:lineRule="auto"/>
        <w:ind w:right="851"/>
        <w:jc w:val="both"/>
        <w:rPr>
          <w:rFonts w:ascii="Times New Roman" w:eastAsiaTheme="minorEastAsia" w:hAnsi="Times New Roman" w:cs="Times New Roman"/>
          <w:sz w:val="24"/>
          <w:szCs w:val="20"/>
          <w:vertAlign w:val="superscript"/>
          <w:lang w:eastAsia="ru-RU"/>
        </w:rPr>
      </w:pPr>
      <w:r w:rsidRPr="00D44260">
        <w:rPr>
          <w:rFonts w:ascii="Times New Roman" w:eastAsiaTheme="minorEastAsia" w:hAnsi="Times New Roman" w:cs="Times New Roman"/>
          <w:sz w:val="24"/>
          <w:szCs w:val="20"/>
          <w:vertAlign w:val="superscript"/>
          <w:lang w:eastAsia="ru-RU"/>
        </w:rPr>
        <w:t>_________________________________________________________________________</w:t>
      </w: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bookmarkStart w:id="4" w:name="_Hlk42873076"/>
      <w:r w:rsidRPr="00D44260">
        <w:rPr>
          <w:rFonts w:ascii="Times New Roman" w:eastAsiaTheme="minorEastAsia" w:hAnsi="Times New Roman" w:cs="Times New Roman"/>
          <w:sz w:val="18"/>
          <w:szCs w:val="20"/>
          <w:vertAlign w:val="superscript"/>
          <w:lang w:eastAsia="ru-RU"/>
        </w:rPr>
        <w:t>*</w:t>
      </w:r>
      <w:r w:rsidRPr="00D44260">
        <w:rPr>
          <w:rFonts w:ascii="Times New Roman" w:eastAsiaTheme="minorEastAsia" w:hAnsi="Times New Roman" w:cs="Times New Roman"/>
          <w:sz w:val="16"/>
          <w:szCs w:val="20"/>
          <w:vertAlign w:val="superscript"/>
          <w:lang w:eastAsia="ru-RU"/>
        </w:rPr>
        <w:t xml:space="preserve"> </w:t>
      </w:r>
      <w:r w:rsidRPr="00D44260">
        <w:rPr>
          <w:rFonts w:ascii="Times New Roman" w:eastAsia="Times New Roman" w:hAnsi="Times New Roman" w:cs="Times New Roman"/>
          <w:sz w:val="18"/>
          <w:szCs w:val="24"/>
          <w:lang w:eastAsia="ru-RU"/>
        </w:rPr>
        <w:t>Номер</w:t>
      </w:r>
      <w:bookmarkEnd w:id="4"/>
      <w:r w:rsidRPr="00D44260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указанный в скобках, соответствует порядковому номеру сводного целевого (целевого) показателя в приложении 1 к Государственной программе </w:t>
      </w:r>
      <w:r w:rsidRPr="00D44260">
        <w:rPr>
          <w:rFonts w:ascii="Times New Roman" w:eastAsia="Times New Roman" w:hAnsi="Times New Roman" w:cs="Times New Roman"/>
          <w:sz w:val="18"/>
          <w:szCs w:val="24"/>
          <w:lang w:val="be-BY" w:eastAsia="ru-RU"/>
        </w:rPr>
        <w:t>”</w:t>
      </w:r>
      <w:r w:rsidRPr="00D44260">
        <w:rPr>
          <w:rFonts w:ascii="Times New Roman" w:eastAsia="Times New Roman" w:hAnsi="Times New Roman" w:cs="Times New Roman"/>
          <w:sz w:val="18"/>
          <w:szCs w:val="24"/>
          <w:lang w:eastAsia="ru-RU"/>
        </w:rPr>
        <w:t>Управление государственными финансами и регулирование финансового рынка</w:t>
      </w:r>
      <w:r w:rsidRPr="00D44260">
        <w:rPr>
          <w:rFonts w:ascii="Times New Roman" w:eastAsia="Times New Roman" w:hAnsi="Times New Roman" w:cs="Times New Roman"/>
          <w:sz w:val="18"/>
          <w:szCs w:val="24"/>
          <w:lang w:val="be-BY" w:eastAsia="ru-RU"/>
        </w:rPr>
        <w:t>“</w:t>
      </w:r>
      <w:r w:rsidRPr="00D44260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на 2020 год и на период до 2025 года.</w:t>
      </w:r>
    </w:p>
    <w:p w:rsidR="00D44260" w:rsidRP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44260">
        <w:rPr>
          <w:rFonts w:ascii="Times New Roman" w:eastAsiaTheme="minorEastAsia" w:hAnsi="Times New Roman" w:cs="Times New Roman"/>
          <w:sz w:val="18"/>
          <w:szCs w:val="20"/>
          <w:vertAlign w:val="superscript"/>
          <w:lang w:eastAsia="ru-RU"/>
        </w:rPr>
        <w:t>**</w:t>
      </w:r>
      <w:r w:rsidRPr="00D44260">
        <w:rPr>
          <w:rFonts w:ascii="Times New Roman" w:eastAsiaTheme="minorEastAsia" w:hAnsi="Times New Roman" w:cs="Times New Roman"/>
          <w:sz w:val="16"/>
          <w:szCs w:val="20"/>
          <w:vertAlign w:val="superscript"/>
          <w:lang w:eastAsia="ru-RU"/>
        </w:rPr>
        <w:t xml:space="preserve"> </w:t>
      </w:r>
      <w:r w:rsidRPr="00D44260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Показатель определяется в целом по Республике Беларусь. </w:t>
      </w:r>
    </w:p>
    <w:bookmarkEnd w:id="3"/>
    <w:p w:rsidR="00D44260" w:rsidRDefault="00D44260" w:rsidP="00D44260">
      <w:pPr>
        <w:spacing w:after="0" w:line="240" w:lineRule="auto"/>
        <w:ind w:right="-31" w:firstLine="709"/>
        <w:jc w:val="both"/>
        <w:rPr>
          <w:rFonts w:ascii="Times New Roman" w:eastAsiaTheme="minorEastAsia" w:hAnsi="Times New Roman" w:cs="Times New Roman"/>
          <w:sz w:val="18"/>
          <w:szCs w:val="24"/>
          <w:lang w:eastAsia="ru-RU"/>
        </w:rPr>
      </w:pPr>
      <w:r w:rsidRPr="00D44260">
        <w:rPr>
          <w:rFonts w:ascii="Times New Roman" w:eastAsiaTheme="minorEastAsia" w:hAnsi="Times New Roman" w:cs="Times New Roman"/>
          <w:sz w:val="18"/>
          <w:szCs w:val="24"/>
          <w:vertAlign w:val="superscript"/>
          <w:lang w:eastAsia="ru-RU"/>
        </w:rPr>
        <w:t>1</w:t>
      </w:r>
      <w:r w:rsidRPr="00D44260">
        <w:rPr>
          <w:rFonts w:ascii="Times New Roman" w:eastAsiaTheme="minorEastAsia" w:hAnsi="Times New Roman" w:cs="Times New Roman"/>
          <w:sz w:val="18"/>
          <w:szCs w:val="24"/>
          <w:lang w:eastAsia="ru-RU"/>
        </w:rPr>
        <w:t> При отклонении важнейших параметров социально-экономического развития Республики Беларусь (ВВП, индекс потребительских цен) от их прогнозных значений на соответствующий финансовый год более чем на 5 процентов оценка достижения целевого показателя не производится и при проведении оценки эффективности реализации Государственной программы в соответствующем финансовом году данные показатели не учитываются.</w:t>
      </w:r>
    </w:p>
    <w:p w:rsidR="00702CBF" w:rsidRPr="00D44260" w:rsidRDefault="00702CBF" w:rsidP="00D44260">
      <w:pPr>
        <w:spacing w:after="0" w:line="240" w:lineRule="auto"/>
        <w:ind w:right="-31" w:firstLine="709"/>
        <w:jc w:val="both"/>
        <w:rPr>
          <w:rFonts w:ascii="Times New Roman" w:eastAsiaTheme="minorEastAsia" w:hAnsi="Times New Roman" w:cs="Times New Roman"/>
          <w:sz w:val="18"/>
          <w:szCs w:val="24"/>
          <w:lang w:eastAsia="ru-RU"/>
        </w:rPr>
      </w:pPr>
    </w:p>
    <w:p w:rsidR="00D44260" w:rsidRPr="00D44260" w:rsidRDefault="00D44260" w:rsidP="00D44260">
      <w:pPr>
        <w:spacing w:after="0" w:line="240" w:lineRule="auto"/>
        <w:ind w:left="851" w:right="-28"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A17E8A" w:rsidRDefault="00A17E8A" w:rsidP="00D44260">
      <w:pPr>
        <w:spacing w:after="0" w:line="240" w:lineRule="auto"/>
        <w:ind w:left="851" w:right="851" w:firstLine="709"/>
        <w:rPr>
          <w:rFonts w:ascii="Times New Roman" w:hAnsi="Times New Roman" w:cs="Times New Roman"/>
        </w:rPr>
      </w:pPr>
    </w:p>
    <w:p w:rsidR="00D44260" w:rsidRPr="00D44260" w:rsidRDefault="00D44260" w:rsidP="00D44260">
      <w:pPr>
        <w:spacing w:after="0" w:line="240" w:lineRule="auto"/>
        <w:ind w:left="851" w:righ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hAnsi="Times New Roman" w:cs="Times New Roman"/>
        </w:rPr>
        <w:t> </w:t>
      </w:r>
      <w:r w:rsidRPr="00D442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Мероприятия региональной программы:     </w:t>
      </w:r>
    </w:p>
    <w:p w:rsidR="00D44260" w:rsidRPr="00D44260" w:rsidRDefault="00D44260" w:rsidP="00D44260">
      <w:pPr>
        <w:spacing w:after="0" w:line="240" w:lineRule="auto"/>
        <w:ind w:left="851" w:right="851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977"/>
        <w:gridCol w:w="1984"/>
        <w:gridCol w:w="1134"/>
        <w:gridCol w:w="1134"/>
        <w:gridCol w:w="1276"/>
        <w:gridCol w:w="1134"/>
        <w:gridCol w:w="1134"/>
        <w:gridCol w:w="1134"/>
        <w:gridCol w:w="1134"/>
        <w:gridCol w:w="982"/>
        <w:gridCol w:w="10"/>
      </w:tblGrid>
      <w:tr w:rsidR="00D44260" w:rsidRPr="00D44260" w:rsidTr="00A17E8A">
        <w:trPr>
          <w:cantSplit/>
          <w:trHeight w:val="20"/>
          <w:jc w:val="center"/>
        </w:trPr>
        <w:tc>
          <w:tcPr>
            <w:tcW w:w="1140" w:type="dxa"/>
            <w:vMerge w:val="restart"/>
          </w:tcPr>
          <w:p w:rsidR="00D44260" w:rsidRPr="00D44260" w:rsidRDefault="00D44260" w:rsidP="00D44260">
            <w:pPr>
              <w:spacing w:after="0" w:line="240" w:lineRule="auto"/>
              <w:ind w:left="-45" w:hanging="64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Наименование мероприятий  (в скобках указаны годы выполнения мероприятий)</w:t>
            </w:r>
          </w:p>
        </w:tc>
        <w:tc>
          <w:tcPr>
            <w:tcW w:w="1984" w:type="dxa"/>
            <w:vMerge w:val="restart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  </w:t>
            </w:r>
            <w:proofErr w:type="spellStart"/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Источни-ки</w:t>
            </w:r>
            <w:proofErr w:type="spellEnd"/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 </w:t>
            </w:r>
            <w:proofErr w:type="spellStart"/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7938" w:type="dxa"/>
            <w:gridSpan w:val="8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vertAlign w:val="superscript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Объемы финансирования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vertAlign w:val="superscript"/>
                <w:lang w:eastAsia="ru-RU"/>
              </w:rPr>
              <w:t>1</w:t>
            </w:r>
          </w:p>
        </w:tc>
      </w:tr>
      <w:tr w:rsidR="00D44260" w:rsidRPr="00D44260" w:rsidTr="00A17E8A">
        <w:trPr>
          <w:cantSplit/>
          <w:trHeight w:val="20"/>
          <w:jc w:val="center"/>
        </w:trPr>
        <w:tc>
          <w:tcPr>
            <w:tcW w:w="1140" w:type="dxa"/>
            <w:vMerge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984" w:type="dxa"/>
            <w:vMerge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6804" w:type="dxa"/>
            <w:gridSpan w:val="7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в том числе по годам</w:t>
            </w:r>
          </w:p>
        </w:tc>
      </w:tr>
      <w:tr w:rsidR="00D44260" w:rsidRPr="00D44260" w:rsidTr="00A17E8A">
        <w:trPr>
          <w:cantSplit/>
          <w:trHeight w:val="20"/>
          <w:jc w:val="center"/>
        </w:trPr>
        <w:tc>
          <w:tcPr>
            <w:tcW w:w="1140" w:type="dxa"/>
            <w:vMerge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2977" w:type="dxa"/>
            <w:vMerge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984" w:type="dxa"/>
            <w:vMerge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  <w:vMerge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2020</w:t>
            </w: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2021</w:t>
            </w: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2022</w:t>
            </w: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2023</w:t>
            </w: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2024</w:t>
            </w:r>
          </w:p>
        </w:tc>
        <w:tc>
          <w:tcPr>
            <w:tcW w:w="992" w:type="dxa"/>
            <w:gridSpan w:val="2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2025</w:t>
            </w:r>
          </w:p>
        </w:tc>
      </w:tr>
      <w:tr w:rsidR="00D44260" w:rsidRPr="00D44260" w:rsidTr="00A17E8A">
        <w:trPr>
          <w:cantSplit/>
          <w:trHeight w:val="20"/>
          <w:jc w:val="center"/>
        </w:trPr>
        <w:tc>
          <w:tcPr>
            <w:tcW w:w="15173" w:type="dxa"/>
            <w:gridSpan w:val="12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Подпрограмма 1 ”Обеспечение устойчивости бюджетной системы и повышение эффективности управления государственными финансами“</w:t>
            </w:r>
          </w:p>
        </w:tc>
      </w:tr>
      <w:tr w:rsidR="00A17E8A" w:rsidRPr="00D44260" w:rsidTr="00A17E8A">
        <w:trPr>
          <w:gridAfter w:val="1"/>
          <w:wAfter w:w="10" w:type="dxa"/>
          <w:cantSplit/>
          <w:trHeight w:val="20"/>
          <w:jc w:val="center"/>
        </w:trPr>
        <w:tc>
          <w:tcPr>
            <w:tcW w:w="15163" w:type="dxa"/>
            <w:gridSpan w:val="11"/>
          </w:tcPr>
          <w:p w:rsidR="00A17E8A" w:rsidRPr="00D44260" w:rsidRDefault="00A17E8A" w:rsidP="00CF7A61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Задача 2. Повышение эффективности бюджетного планирования и бюджетных расходов</w:t>
            </w:r>
          </w:p>
        </w:tc>
      </w:tr>
    </w:tbl>
    <w:p w:rsidR="00D44260" w:rsidRPr="00D44260" w:rsidRDefault="00D44260" w:rsidP="00D44260">
      <w:pPr>
        <w:spacing w:after="0" w:line="20" w:lineRule="exact"/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6"/>
        <w:gridCol w:w="1984"/>
        <w:gridCol w:w="982"/>
        <w:gridCol w:w="1134"/>
        <w:gridCol w:w="1275"/>
        <w:gridCol w:w="1134"/>
        <w:gridCol w:w="1134"/>
        <w:gridCol w:w="1134"/>
        <w:gridCol w:w="1134"/>
        <w:gridCol w:w="993"/>
      </w:tblGrid>
      <w:tr w:rsidR="00D44260" w:rsidRPr="00D44260" w:rsidTr="007204AF">
        <w:trPr>
          <w:cantSplit/>
          <w:trHeight w:val="420"/>
          <w:jc w:val="center"/>
        </w:trPr>
        <w:tc>
          <w:tcPr>
            <w:tcW w:w="993" w:type="dxa"/>
          </w:tcPr>
          <w:p w:rsidR="00D44260" w:rsidRPr="00D44260" w:rsidRDefault="00A17E8A" w:rsidP="00A1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lastRenderedPageBreak/>
              <w:t>1. (8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.)</w:t>
            </w:r>
          </w:p>
        </w:tc>
        <w:tc>
          <w:tcPr>
            <w:tcW w:w="3266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Внедрение на постоянной основе планирования расходов бюджета с использованием нормативов расходов на одного потребителя и (или) в отрасли, в том числе на обеспечение функционирования учреждений (организаций):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дошкольного образования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(2021)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7D21FF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О</w:t>
            </w:r>
            <w:r w:rsidR="00953893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бще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го среднего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образования (2022)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детско-юношеских спортивных школ 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(202</w:t>
            </w:r>
            <w:r w:rsidR="00A17E8A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)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больничных организаций (2025)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7D21FF" w:rsidRDefault="007D21FF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0A06D1" w:rsidRPr="00D44260" w:rsidRDefault="000A06D1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библиотек  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(2022)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F403F2" w:rsidRDefault="00D44260" w:rsidP="000A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953893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отдел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образовани</w:t>
            </w:r>
            <w:r w:rsidR="00F403F2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я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, райисполком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7D21FF" w:rsidRPr="00D44260" w:rsidRDefault="007D21FF" w:rsidP="007D2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отдел 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образовани</w:t>
            </w:r>
            <w:r w:rsidR="00F403F2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я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, райисполком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7D21FF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сектор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спорта и туризма, райисполком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ab/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               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F50D29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учреждение здравоохранения</w:t>
            </w:r>
            <w:r w:rsidR="007D21FF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«Городокская центральная районная больница»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, райисполком</w:t>
            </w:r>
          </w:p>
          <w:p w:rsidR="00F403F2" w:rsidRDefault="00F403F2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F403F2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отдел идеологической работы,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и по делам молодёжи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, райисполком</w:t>
            </w:r>
          </w:p>
          <w:p w:rsidR="00D44260" w:rsidRPr="00D44260" w:rsidRDefault="008170D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              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    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982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0A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0A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0A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0A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0A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0A06D1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0A06D1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  <w:p w:rsidR="00D44260" w:rsidRPr="00D44260" w:rsidRDefault="00D44260" w:rsidP="000A06D1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</w:tr>
      <w:tr w:rsidR="00A17E8A" w:rsidRPr="00D44260" w:rsidTr="007204AF">
        <w:trPr>
          <w:cantSplit/>
          <w:trHeight w:val="20"/>
          <w:jc w:val="center"/>
        </w:trPr>
        <w:tc>
          <w:tcPr>
            <w:tcW w:w="993" w:type="dxa"/>
          </w:tcPr>
          <w:p w:rsidR="00A17E8A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3266" w:type="dxa"/>
          </w:tcPr>
          <w:p w:rsidR="00A17E8A" w:rsidRPr="00D44260" w:rsidRDefault="00A17E8A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территориальных центров социального обслуживания населения, центров обслуживания семьи и детей (социальной помощи семье и детям) (2023)</w:t>
            </w:r>
          </w:p>
        </w:tc>
        <w:tc>
          <w:tcPr>
            <w:tcW w:w="1984" w:type="dxa"/>
          </w:tcPr>
          <w:p w:rsidR="00A17E8A" w:rsidRPr="00D44260" w:rsidRDefault="00A17E8A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982" w:type="dxa"/>
          </w:tcPr>
          <w:p w:rsidR="00A17E8A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A17E8A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A17E8A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A17E8A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A17E8A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A17E8A" w:rsidRPr="00D44260" w:rsidRDefault="00A17E8A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A17E8A" w:rsidRPr="00D44260" w:rsidRDefault="00A17E8A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993" w:type="dxa"/>
          </w:tcPr>
          <w:p w:rsidR="00A17E8A" w:rsidRPr="00D44260" w:rsidRDefault="00A17E8A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  <w:tr w:rsidR="00D44260" w:rsidRPr="00D44260" w:rsidTr="007204AF">
        <w:trPr>
          <w:cantSplit/>
          <w:trHeight w:val="20"/>
          <w:jc w:val="center"/>
        </w:trPr>
        <w:tc>
          <w:tcPr>
            <w:tcW w:w="993" w:type="dxa"/>
          </w:tcPr>
          <w:p w:rsidR="00D44260" w:rsidRPr="00D44260" w:rsidRDefault="00A17E8A" w:rsidP="00A1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lastRenderedPageBreak/>
              <w:t>2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9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*</w:t>
            </w:r>
          </w:p>
        </w:tc>
        <w:tc>
          <w:tcPr>
            <w:tcW w:w="3266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Формирование общедоступных информационных ресурсов о бюджете (бюллетени об исполнении консолидированного бюджета </w:t>
            </w:r>
            <w:r w:rsidR="002B029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Городокского района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, бюджет</w:t>
            </w:r>
            <w:r w:rsidR="002B029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а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район</w:t>
            </w:r>
            <w:r w:rsidR="002B029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а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, ”бюджет для граждан“)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(2020 – 2025)</w:t>
            </w:r>
          </w:p>
        </w:tc>
        <w:tc>
          <w:tcPr>
            <w:tcW w:w="1984" w:type="dxa"/>
          </w:tcPr>
          <w:p w:rsidR="00D44260" w:rsidRPr="00D44260" w:rsidRDefault="002B029B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Ф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инансов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ый отдел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, райисполком</w:t>
            </w:r>
          </w:p>
        </w:tc>
        <w:tc>
          <w:tcPr>
            <w:tcW w:w="982" w:type="dxa"/>
          </w:tcPr>
          <w:p w:rsidR="00D44260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D44260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44260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D44260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D44260" w:rsidRPr="00D44260" w:rsidRDefault="00A17E8A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D44260" w:rsidRPr="00D44260" w:rsidRDefault="00A17E8A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D44260" w:rsidRPr="00D44260" w:rsidRDefault="00A17E8A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993" w:type="dxa"/>
          </w:tcPr>
          <w:p w:rsidR="00D44260" w:rsidRPr="00D44260" w:rsidRDefault="00A17E8A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  <w:tr w:rsidR="00F12F1D" w:rsidRPr="00D44260" w:rsidTr="007204AF">
        <w:trPr>
          <w:cantSplit/>
          <w:trHeight w:val="3033"/>
          <w:jc w:val="center"/>
        </w:trPr>
        <w:tc>
          <w:tcPr>
            <w:tcW w:w="993" w:type="dxa"/>
          </w:tcPr>
          <w:p w:rsidR="00F12F1D" w:rsidRPr="00D44260" w:rsidRDefault="00F12F1D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4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11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.)</w:t>
            </w:r>
          </w:p>
        </w:tc>
        <w:tc>
          <w:tcPr>
            <w:tcW w:w="3266" w:type="dxa"/>
          </w:tcPr>
          <w:p w:rsidR="00F12F1D" w:rsidRPr="00D44260" w:rsidRDefault="00F12F1D" w:rsidP="00F1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Обеспечение функционирования государственных учреждений по обеспечению деятельности бюджетных организаций</w:t>
            </w:r>
          </w:p>
          <w:p w:rsidR="00F12F1D" w:rsidRPr="00D44260" w:rsidRDefault="00F12F1D" w:rsidP="00F1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(2020 – 2025)</w:t>
            </w:r>
          </w:p>
        </w:tc>
        <w:tc>
          <w:tcPr>
            <w:tcW w:w="1984" w:type="dxa"/>
          </w:tcPr>
          <w:p w:rsidR="00F12F1D" w:rsidRPr="000B4CFE" w:rsidRDefault="00F12F1D" w:rsidP="00F1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отдел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по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образованию, отдел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идеологической работы,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и по делам молодёжи,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райисполком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</w:t>
            </w:r>
            <w:r w:rsidR="000242C7" w:rsidRPr="000242C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государственное учреждение «Городокский районный архив», государственное природоохранное учреждение  «Корытинский мох», государственное учреждение «Районный физкультурно-спортивный клуб «Городок», государственное учебно-спортивное учреждение «Городокская детско-юношеская спортивная школа»,</w:t>
            </w:r>
            <w:r w:rsidR="000242C7">
              <w:rPr>
                <w:rFonts w:ascii="Times New Roman" w:eastAsia="Times New Roman" w:hAnsi="Times New Roman"/>
                <w:color w:val="000000"/>
                <w:kern w:val="2"/>
                <w:sz w:val="26"/>
                <w:szCs w:val="26"/>
                <w:lang w:eastAsia="ru-RU"/>
              </w:rPr>
              <w:t xml:space="preserve"> </w:t>
            </w:r>
            <w:r w:rsidR="000242C7" w:rsidRPr="000242C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 xml:space="preserve">сельские исполнительные 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комитеты</w:t>
            </w:r>
          </w:p>
        </w:tc>
        <w:tc>
          <w:tcPr>
            <w:tcW w:w="982" w:type="dxa"/>
          </w:tcPr>
          <w:p w:rsidR="00F12F1D" w:rsidRPr="00D44260" w:rsidRDefault="00F12F1D" w:rsidP="00F12F1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районный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бюджет, бюджеты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первичного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F12F1D" w:rsidRDefault="00C343C9" w:rsidP="00F1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8 844 641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F12F1D" w:rsidRDefault="000A4903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1 186 340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F12F1D" w:rsidRDefault="000A4903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1 317 551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F12F1D" w:rsidRDefault="000A4903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1 409 800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F12F1D" w:rsidRDefault="000A4903" w:rsidP="00F12F1D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1 508 500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F12F1D" w:rsidRDefault="000A4903" w:rsidP="00F12F1D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34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661 464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1D" w:rsidRPr="00F12F1D" w:rsidRDefault="000A4903" w:rsidP="00F12F1D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34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34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60 986</w:t>
            </w:r>
          </w:p>
        </w:tc>
      </w:tr>
      <w:tr w:rsidR="007204AF" w:rsidRPr="00D44260" w:rsidTr="007204AF">
        <w:trPr>
          <w:cantSplit/>
          <w:trHeight w:val="457"/>
          <w:jc w:val="center"/>
        </w:trPr>
        <w:tc>
          <w:tcPr>
            <w:tcW w:w="15163" w:type="dxa"/>
            <w:gridSpan w:val="11"/>
            <w:tcBorders>
              <w:right w:val="single" w:sz="4" w:space="0" w:color="auto"/>
            </w:tcBorders>
          </w:tcPr>
          <w:p w:rsidR="007204AF" w:rsidRPr="00F12F1D" w:rsidRDefault="007204AF" w:rsidP="00F12F1D">
            <w:pPr>
              <w:spacing w:after="0" w:line="240" w:lineRule="auto"/>
              <w:ind w:right="-97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 Внедрение современных подходов и технологий в сфере управления государственными финансами</w:t>
            </w:r>
          </w:p>
        </w:tc>
      </w:tr>
      <w:tr w:rsidR="007204AF" w:rsidRPr="00D44260" w:rsidTr="007204AF">
        <w:trPr>
          <w:cantSplit/>
          <w:trHeight w:val="1307"/>
          <w:jc w:val="center"/>
        </w:trPr>
        <w:tc>
          <w:tcPr>
            <w:tcW w:w="993" w:type="dxa"/>
          </w:tcPr>
          <w:p w:rsidR="007204AF" w:rsidRDefault="007204AF" w:rsidP="00F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lastRenderedPageBreak/>
              <w:t>5.(16).*</w:t>
            </w:r>
          </w:p>
        </w:tc>
        <w:tc>
          <w:tcPr>
            <w:tcW w:w="3266" w:type="dxa"/>
          </w:tcPr>
          <w:p w:rsidR="007204AF" w:rsidRPr="00D44260" w:rsidRDefault="007204AF" w:rsidP="00F1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Участие в работе по внедрению в эксплуатацию программного обеспечения по учету долга органов местного управления и самоуправления (2020-2025)</w:t>
            </w:r>
          </w:p>
        </w:tc>
        <w:tc>
          <w:tcPr>
            <w:tcW w:w="1984" w:type="dxa"/>
          </w:tcPr>
          <w:p w:rsidR="007204AF" w:rsidRDefault="007204AF" w:rsidP="00F1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райисполком, финансовый отдел райисполкома</w:t>
            </w:r>
          </w:p>
        </w:tc>
        <w:tc>
          <w:tcPr>
            <w:tcW w:w="982" w:type="dxa"/>
            <w:vAlign w:val="center"/>
          </w:tcPr>
          <w:p w:rsidR="007204AF" w:rsidRDefault="007204AF" w:rsidP="007204A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AF" w:rsidRPr="00F12F1D" w:rsidRDefault="007204AF" w:rsidP="0072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AF" w:rsidRPr="00F12F1D" w:rsidRDefault="007204AF" w:rsidP="00720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AF" w:rsidRPr="00F12F1D" w:rsidRDefault="007204AF" w:rsidP="0072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AF" w:rsidRPr="00F12F1D" w:rsidRDefault="007204AF" w:rsidP="0072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AF" w:rsidRPr="00F12F1D" w:rsidRDefault="007204AF" w:rsidP="007204AF">
            <w:pPr>
              <w:spacing w:after="0" w:line="240" w:lineRule="auto"/>
              <w:ind w:right="-97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AF" w:rsidRPr="00F12F1D" w:rsidRDefault="007204AF" w:rsidP="007204AF">
            <w:pPr>
              <w:spacing w:after="0" w:line="240" w:lineRule="auto"/>
              <w:ind w:right="-97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4AF" w:rsidRPr="00F12F1D" w:rsidRDefault="007204AF" w:rsidP="007204AF">
            <w:pPr>
              <w:spacing w:after="0" w:line="240" w:lineRule="auto"/>
              <w:ind w:right="-97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204AF" w:rsidRPr="00D44260" w:rsidTr="007204AF">
        <w:trPr>
          <w:cantSplit/>
          <w:trHeight w:val="20"/>
          <w:jc w:val="center"/>
        </w:trPr>
        <w:tc>
          <w:tcPr>
            <w:tcW w:w="15163" w:type="dxa"/>
            <w:gridSpan w:val="11"/>
          </w:tcPr>
          <w:p w:rsidR="007204AF" w:rsidRPr="00D44260" w:rsidRDefault="007204AF" w:rsidP="00CF7A61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Подпрограмма 2 ”Управление государственным долгом, долгом органов местного управления и самоуправления“</w:t>
            </w:r>
          </w:p>
        </w:tc>
      </w:tr>
      <w:tr w:rsidR="007204AF" w:rsidRPr="00D44260" w:rsidTr="007204AF">
        <w:trPr>
          <w:cantSplit/>
          <w:trHeight w:val="20"/>
          <w:jc w:val="center"/>
        </w:trPr>
        <w:tc>
          <w:tcPr>
            <w:tcW w:w="15163" w:type="dxa"/>
            <w:gridSpan w:val="11"/>
          </w:tcPr>
          <w:p w:rsidR="007204AF" w:rsidRPr="00D44260" w:rsidRDefault="007204AF" w:rsidP="00CF7A61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Задача 4. Сохранение долговой нагрузки бюджет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а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регион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а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на экономически безопасном уровне</w:t>
            </w:r>
          </w:p>
        </w:tc>
      </w:tr>
    </w:tbl>
    <w:p w:rsidR="00D44260" w:rsidRPr="00D44260" w:rsidRDefault="00D44260" w:rsidP="00D44260"/>
    <w:p w:rsidR="00D44260" w:rsidRDefault="00D44260" w:rsidP="00D44260"/>
    <w:p w:rsidR="008170D0" w:rsidRPr="00D44260" w:rsidRDefault="008170D0" w:rsidP="00D44260"/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84"/>
        <w:gridCol w:w="1134"/>
        <w:gridCol w:w="1229"/>
        <w:gridCol w:w="1218"/>
        <w:gridCol w:w="1232"/>
        <w:gridCol w:w="7"/>
        <w:gridCol w:w="1134"/>
        <w:gridCol w:w="1126"/>
        <w:gridCol w:w="8"/>
        <w:gridCol w:w="1098"/>
        <w:gridCol w:w="1028"/>
      </w:tblGrid>
      <w:tr w:rsidR="00D44260" w:rsidRPr="00D44260" w:rsidTr="00E35D41">
        <w:trPr>
          <w:cantSplit/>
          <w:trHeight w:val="20"/>
          <w:jc w:val="center"/>
        </w:trPr>
        <w:tc>
          <w:tcPr>
            <w:tcW w:w="988" w:type="dxa"/>
          </w:tcPr>
          <w:p w:rsidR="00D44260" w:rsidRPr="00D44260" w:rsidRDefault="007204AF" w:rsidP="0072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6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22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*</w:t>
            </w:r>
          </w:p>
        </w:tc>
        <w:tc>
          <w:tcPr>
            <w:tcW w:w="2835" w:type="dxa"/>
          </w:tcPr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Своевременное и полное исполнение обязательств по обслуживанию и погашению долговых обязательств органов местного управления и самоуправления: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погашение (отражается в источниках финансирования дефицита (направлениях использования профицита) бюджета)          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(2020 – 2025)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обслуживание  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(2020 – 2025)</w:t>
            </w:r>
          </w:p>
        </w:tc>
        <w:tc>
          <w:tcPr>
            <w:tcW w:w="1984" w:type="dxa"/>
          </w:tcPr>
          <w:p w:rsidR="00D44260" w:rsidRPr="00D44260" w:rsidRDefault="007204AF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ф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инансов</w:t>
            </w:r>
            <w:r w:rsidR="0024309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ый отдел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, </w:t>
            </w:r>
            <w:r w:rsidR="0024309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управление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по сельскому хозяйству и продовольствию, райисполком</w:t>
            </w:r>
          </w:p>
        </w:tc>
        <w:tc>
          <w:tcPr>
            <w:tcW w:w="1134" w:type="dxa"/>
          </w:tcPr>
          <w:p w:rsidR="00D44260" w:rsidRPr="00D44260" w:rsidRDefault="00243090" w:rsidP="00D4426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районный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бюджет</w:t>
            </w:r>
          </w:p>
        </w:tc>
        <w:tc>
          <w:tcPr>
            <w:tcW w:w="1229" w:type="dxa"/>
          </w:tcPr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73EAB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3 467 000</w:t>
            </w: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73EAB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799 020</w:t>
            </w:r>
          </w:p>
        </w:tc>
        <w:tc>
          <w:tcPr>
            <w:tcW w:w="1218" w:type="dxa"/>
          </w:tcPr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E8561A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</w:t>
            </w:r>
            <w:r w:rsidR="00A229C1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53 600</w:t>
            </w: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A229C1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90</w:t>
            </w:r>
            <w:r w:rsidR="00E66BAE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000</w:t>
            </w:r>
          </w:p>
        </w:tc>
        <w:tc>
          <w:tcPr>
            <w:tcW w:w="1232" w:type="dxa"/>
          </w:tcPr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E8561A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253</w:t>
            </w:r>
            <w:r w:rsidR="0037388C" w:rsidRPr="0037388C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</w:t>
            </w:r>
            <w:r w:rsidRPr="0037388C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600</w:t>
            </w: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E66BAE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60</w:t>
            </w:r>
            <w:r w:rsidR="00583154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000</w:t>
            </w:r>
          </w:p>
        </w:tc>
        <w:tc>
          <w:tcPr>
            <w:tcW w:w="1141" w:type="dxa"/>
            <w:gridSpan w:val="2"/>
          </w:tcPr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A229C1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1 0</w:t>
            </w:r>
            <w:r w:rsidR="00E8561A" w:rsidRPr="0037388C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53</w:t>
            </w:r>
            <w:r w:rsidR="0037388C" w:rsidRPr="0037388C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</w:t>
            </w:r>
            <w:r w:rsidR="00E8561A" w:rsidRPr="0037388C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600</w:t>
            </w: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A229C1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270 0</w:t>
            </w:r>
            <w:r w:rsidR="00583154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00</w:t>
            </w:r>
          </w:p>
        </w:tc>
        <w:tc>
          <w:tcPr>
            <w:tcW w:w="1134" w:type="dxa"/>
            <w:gridSpan w:val="2"/>
          </w:tcPr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A229C1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1 053 600</w:t>
            </w: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D44260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A229C1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135 700</w:t>
            </w:r>
          </w:p>
        </w:tc>
        <w:tc>
          <w:tcPr>
            <w:tcW w:w="1098" w:type="dxa"/>
          </w:tcPr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C343C9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852 600</w:t>
            </w: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C343C9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243 320</w:t>
            </w:r>
          </w:p>
        </w:tc>
        <w:tc>
          <w:tcPr>
            <w:tcW w:w="1028" w:type="dxa"/>
          </w:tcPr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D44260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</w:t>
            </w: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:rsidR="0037388C" w:rsidRPr="0037388C" w:rsidRDefault="0037388C" w:rsidP="00D44260">
            <w:pPr>
              <w:spacing w:after="0" w:line="240" w:lineRule="auto"/>
              <w:ind w:right="-97" w:firstLine="3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0</w:t>
            </w:r>
          </w:p>
        </w:tc>
      </w:tr>
      <w:tr w:rsidR="00D44260" w:rsidRPr="00D44260" w:rsidTr="00E35D41">
        <w:trPr>
          <w:cantSplit/>
          <w:trHeight w:val="20"/>
          <w:jc w:val="center"/>
        </w:trPr>
        <w:tc>
          <w:tcPr>
            <w:tcW w:w="988" w:type="dxa"/>
          </w:tcPr>
          <w:p w:rsidR="00D44260" w:rsidRPr="00D44260" w:rsidRDefault="007204AF" w:rsidP="0072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7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23</w:t>
            </w:r>
            <w:r w:rsidR="00D44260"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*</w:t>
            </w:r>
          </w:p>
        </w:tc>
        <w:tc>
          <w:tcPr>
            <w:tcW w:w="2835" w:type="dxa"/>
          </w:tcPr>
          <w:p w:rsidR="00D44260" w:rsidRPr="00D44260" w:rsidRDefault="007204AF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Предоставление гарантий местными исполнительными и распорядительными органами в пределах фактически сложившегося объема погашения основного долга по кредитам, ранее выданным под такие гарантии, за исключением основного долга, погашенного в </w:t>
            </w:r>
            <w:r w:rsidR="00D73EAB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с гарантиями местных исполнительных и распорядительных органов</w:t>
            </w:r>
          </w:p>
          <w:p w:rsidR="00D44260" w:rsidRPr="00D44260" w:rsidRDefault="00D44260" w:rsidP="00D4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(2020 – 2025)</w:t>
            </w:r>
          </w:p>
        </w:tc>
        <w:tc>
          <w:tcPr>
            <w:tcW w:w="1984" w:type="dxa"/>
          </w:tcPr>
          <w:p w:rsidR="00D44260" w:rsidRPr="00D44260" w:rsidRDefault="00D44260" w:rsidP="003A5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 xml:space="preserve"> </w:t>
            </w:r>
            <w:r w:rsidR="003A5126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ф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инансов</w:t>
            </w:r>
            <w:r w:rsidR="0024309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ый отдел</w:t>
            </w:r>
            <w:r w:rsidRPr="00D44260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, райисполком</w:t>
            </w:r>
          </w:p>
        </w:tc>
        <w:tc>
          <w:tcPr>
            <w:tcW w:w="1134" w:type="dxa"/>
          </w:tcPr>
          <w:p w:rsidR="00D44260" w:rsidRPr="00D44260" w:rsidRDefault="00D44260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1229" w:type="dxa"/>
          </w:tcPr>
          <w:p w:rsidR="00D44260" w:rsidRPr="003A5126" w:rsidRDefault="003A5126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A5126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218" w:type="dxa"/>
          </w:tcPr>
          <w:p w:rsidR="00D44260" w:rsidRPr="003A5126" w:rsidRDefault="003A5126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A5126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239" w:type="dxa"/>
            <w:gridSpan w:val="2"/>
          </w:tcPr>
          <w:p w:rsidR="00D44260" w:rsidRPr="003A5126" w:rsidRDefault="003A5126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A5126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D44260" w:rsidRPr="003A5126" w:rsidRDefault="003A5126" w:rsidP="00D4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A5126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26" w:type="dxa"/>
          </w:tcPr>
          <w:p w:rsidR="00D44260" w:rsidRPr="003A5126" w:rsidRDefault="003A5126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A5126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106" w:type="dxa"/>
            <w:gridSpan w:val="2"/>
          </w:tcPr>
          <w:p w:rsidR="00D44260" w:rsidRPr="003A5126" w:rsidRDefault="003A5126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A5126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  <w:tc>
          <w:tcPr>
            <w:tcW w:w="1028" w:type="dxa"/>
          </w:tcPr>
          <w:p w:rsidR="00D44260" w:rsidRPr="003A5126" w:rsidRDefault="003A5126" w:rsidP="00D44260">
            <w:pPr>
              <w:spacing w:after="0" w:line="240" w:lineRule="auto"/>
              <w:ind w:right="-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3A5126"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  <w:t>-</w:t>
            </w:r>
          </w:p>
        </w:tc>
      </w:tr>
    </w:tbl>
    <w:p w:rsidR="00D44260" w:rsidRDefault="00D44260" w:rsidP="00D44260">
      <w:pPr>
        <w:spacing w:after="0" w:line="240" w:lineRule="auto"/>
        <w:ind w:left="851" w:right="851"/>
        <w:jc w:val="both"/>
        <w:rPr>
          <w:rFonts w:ascii="Times New Roman" w:eastAsiaTheme="minorEastAsia" w:hAnsi="Times New Roman" w:cs="Times New Roman"/>
          <w:sz w:val="24"/>
          <w:szCs w:val="20"/>
          <w:vertAlign w:val="superscript"/>
          <w:lang w:eastAsia="ru-RU"/>
        </w:rPr>
      </w:pPr>
      <w:r w:rsidRPr="00D44260">
        <w:rPr>
          <w:rFonts w:ascii="Times New Roman" w:eastAsiaTheme="minorEastAsia" w:hAnsi="Times New Roman" w:cs="Times New Roman"/>
          <w:sz w:val="24"/>
          <w:szCs w:val="20"/>
          <w:vertAlign w:val="superscript"/>
          <w:lang w:eastAsia="ru-RU"/>
        </w:rPr>
        <w:lastRenderedPageBreak/>
        <w:t xml:space="preserve">        </w:t>
      </w:r>
    </w:p>
    <w:p w:rsidR="008170D0" w:rsidRPr="00D44260" w:rsidRDefault="008170D0" w:rsidP="00D44260">
      <w:pPr>
        <w:spacing w:after="0" w:line="240" w:lineRule="auto"/>
        <w:ind w:left="851" w:right="851"/>
        <w:jc w:val="both"/>
        <w:rPr>
          <w:rFonts w:ascii="Times New Roman" w:eastAsiaTheme="minorEastAsia" w:hAnsi="Times New Roman" w:cs="Times New Roman"/>
          <w:sz w:val="24"/>
          <w:szCs w:val="20"/>
          <w:vertAlign w:val="superscript"/>
          <w:lang w:eastAsia="ru-RU"/>
        </w:rPr>
      </w:pPr>
    </w:p>
    <w:p w:rsidR="00D44260" w:rsidRPr="00D44260" w:rsidRDefault="00D44260" w:rsidP="00D44260">
      <w:pPr>
        <w:spacing w:after="0" w:line="240" w:lineRule="auto"/>
        <w:ind w:right="851"/>
        <w:jc w:val="both"/>
        <w:rPr>
          <w:rFonts w:ascii="Times New Roman" w:eastAsiaTheme="minorEastAsia" w:hAnsi="Times New Roman" w:cs="Times New Roman"/>
          <w:sz w:val="24"/>
          <w:szCs w:val="20"/>
          <w:vertAlign w:val="superscript"/>
          <w:lang w:eastAsia="ru-RU"/>
        </w:rPr>
      </w:pPr>
      <w:r w:rsidRPr="00D44260">
        <w:rPr>
          <w:rFonts w:ascii="Times New Roman" w:eastAsiaTheme="minorEastAsia" w:hAnsi="Times New Roman" w:cs="Times New Roman"/>
          <w:sz w:val="24"/>
          <w:szCs w:val="20"/>
          <w:vertAlign w:val="superscript"/>
          <w:lang w:eastAsia="ru-RU"/>
        </w:rPr>
        <w:t>_________________________________________________________________________</w:t>
      </w:r>
    </w:p>
    <w:p w:rsidR="00D44260" w:rsidRPr="00D44260" w:rsidRDefault="00D44260" w:rsidP="00D44260">
      <w:pPr>
        <w:tabs>
          <w:tab w:val="left" w:pos="709"/>
        </w:tabs>
        <w:spacing w:after="0" w:line="240" w:lineRule="auto"/>
        <w:ind w:right="-3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D44260">
        <w:rPr>
          <w:rFonts w:ascii="Times New Roman" w:eastAsiaTheme="minorEastAsia" w:hAnsi="Times New Roman" w:cs="Times New Roman"/>
          <w:sz w:val="18"/>
          <w:szCs w:val="20"/>
          <w:lang w:eastAsia="ru-RU"/>
        </w:rPr>
        <w:t xml:space="preserve">               *Номер, указанный в скобках, соответствует порядковому номеру мероприятия в приложении 2 к Государственной программе ”Управление государственными финансами и регулирование финансового рынка“ на 2020 год и на период до 2025 года.</w:t>
      </w:r>
    </w:p>
    <w:p w:rsidR="00D44260" w:rsidRPr="00D44260" w:rsidRDefault="00D44260" w:rsidP="00D44260">
      <w:pPr>
        <w:spacing w:after="0" w:line="240" w:lineRule="auto"/>
        <w:ind w:right="-3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D44260">
        <w:rPr>
          <w:rFonts w:ascii="Times New Roman" w:eastAsiaTheme="minorEastAsia" w:hAnsi="Times New Roman" w:cs="Times New Roman"/>
          <w:sz w:val="18"/>
          <w:szCs w:val="20"/>
          <w:vertAlign w:val="superscript"/>
          <w:lang w:eastAsia="ru-RU"/>
        </w:rPr>
        <w:t xml:space="preserve">                       1</w:t>
      </w:r>
      <w:r w:rsidRPr="00D44260">
        <w:rPr>
          <w:rFonts w:ascii="Times New Roman" w:eastAsiaTheme="minorEastAsia" w:hAnsi="Times New Roman" w:cs="Times New Roman"/>
          <w:sz w:val="18"/>
          <w:szCs w:val="20"/>
          <w:lang w:eastAsia="ru-RU"/>
        </w:rPr>
        <w:t> </w:t>
      </w:r>
      <w:r w:rsidRPr="00D44260">
        <w:rPr>
          <w:rFonts w:ascii="Times New Roman" w:eastAsiaTheme="minorEastAsia" w:hAnsi="Times New Roman" w:cs="Times New Roman"/>
          <w:sz w:val="18"/>
          <w:szCs w:val="18"/>
          <w:lang w:eastAsia="ru-RU"/>
        </w:rPr>
        <w:t>Объемы</w:t>
      </w:r>
      <w:r w:rsidRPr="00D44260">
        <w:rPr>
          <w:rFonts w:ascii="Times New Roman" w:eastAsiaTheme="minorEastAsia" w:hAnsi="Times New Roman" w:cs="Times New Roman"/>
          <w:sz w:val="18"/>
          <w:szCs w:val="20"/>
          <w:lang w:eastAsia="ru-RU"/>
        </w:rPr>
        <w:t xml:space="preserve"> финансирования ежегодно уточняются при формировании бюджета на очередной финансовый год.</w:t>
      </w:r>
    </w:p>
    <w:p w:rsidR="00D44260" w:rsidRDefault="00D44260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3A5126" w:rsidRDefault="003A5126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3A5126" w:rsidRDefault="003A5126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3A5126" w:rsidRDefault="003A5126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3A5126" w:rsidRPr="00D44260" w:rsidRDefault="003A5126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3A5126" w:rsidRDefault="00D44260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4. </w:t>
      </w:r>
      <w:r w:rsidR="003A5126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Организационно – технические меры, необходимые для реализации региональной программы:</w:t>
      </w:r>
    </w:p>
    <w:p w:rsidR="003A5126" w:rsidRDefault="003A5126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3A5126" w:rsidRDefault="003A5126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2126"/>
        <w:gridCol w:w="5493"/>
      </w:tblGrid>
      <w:tr w:rsidR="003A5126" w:rsidRPr="003A5126" w:rsidTr="003A5126">
        <w:tc>
          <w:tcPr>
            <w:tcW w:w="988" w:type="dxa"/>
          </w:tcPr>
          <w:p w:rsidR="003A5126" w:rsidRPr="003A5126" w:rsidRDefault="003A5126" w:rsidP="00D4426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A51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</w:tcPr>
          <w:p w:rsidR="003A5126" w:rsidRPr="003A5126" w:rsidRDefault="003A5126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</w:t>
            </w:r>
          </w:p>
        </w:tc>
        <w:tc>
          <w:tcPr>
            <w:tcW w:w="2126" w:type="dxa"/>
          </w:tcPr>
          <w:p w:rsidR="003A5126" w:rsidRPr="003A5126" w:rsidRDefault="003A5126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реализации, годы</w:t>
            </w:r>
          </w:p>
        </w:tc>
        <w:tc>
          <w:tcPr>
            <w:tcW w:w="5493" w:type="dxa"/>
          </w:tcPr>
          <w:p w:rsidR="003A5126" w:rsidRPr="003A5126" w:rsidRDefault="003A5126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</w:tr>
      <w:tr w:rsidR="003A5126" w:rsidRPr="003A5126" w:rsidTr="00CF7A61">
        <w:tc>
          <w:tcPr>
            <w:tcW w:w="14560" w:type="dxa"/>
            <w:gridSpan w:val="4"/>
          </w:tcPr>
          <w:p w:rsidR="003A5126" w:rsidRPr="003A5126" w:rsidRDefault="003A5126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1 «Обеспечение устойчивости бюджетной системы и повышение эффективности управления государственными финансами»</w:t>
            </w:r>
          </w:p>
        </w:tc>
      </w:tr>
      <w:tr w:rsidR="003A5126" w:rsidRPr="003A5126" w:rsidTr="00CF7A61">
        <w:tc>
          <w:tcPr>
            <w:tcW w:w="14560" w:type="dxa"/>
            <w:gridSpan w:val="4"/>
          </w:tcPr>
          <w:p w:rsidR="003A5126" w:rsidRPr="003A5126" w:rsidRDefault="003A5126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 1. Обеспечение сбалансированности республиканского и местных бюджетов в пределах имеющихся доходов и источников финансирования дефицита (размера профицита) бюджета</w:t>
            </w:r>
          </w:p>
        </w:tc>
      </w:tr>
      <w:tr w:rsidR="003A5126" w:rsidRPr="003A5126" w:rsidTr="003A5126">
        <w:tc>
          <w:tcPr>
            <w:tcW w:w="988" w:type="dxa"/>
          </w:tcPr>
          <w:p w:rsidR="003A5126" w:rsidRPr="003A5126" w:rsidRDefault="003A5126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A51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51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(1.)*</w:t>
            </w:r>
          </w:p>
        </w:tc>
        <w:tc>
          <w:tcPr>
            <w:tcW w:w="5953" w:type="dxa"/>
          </w:tcPr>
          <w:p w:rsidR="003A5126" w:rsidRPr="003A5126" w:rsidRDefault="003A5126" w:rsidP="00D4426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Взыскание задолженности по неналоговым платежам в бюджет</w:t>
            </w:r>
          </w:p>
        </w:tc>
        <w:tc>
          <w:tcPr>
            <w:tcW w:w="2126" w:type="dxa"/>
          </w:tcPr>
          <w:p w:rsidR="003A5126" w:rsidRPr="003A5126" w:rsidRDefault="003A5126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5493" w:type="dxa"/>
          </w:tcPr>
          <w:p w:rsidR="003A5126" w:rsidRPr="003A5126" w:rsidRDefault="00AB1070" w:rsidP="00D4426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r w:rsidR="00B326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осударственные органы и организации, являющиеся администраторами неналоговых доходов</w:t>
            </w:r>
          </w:p>
        </w:tc>
      </w:tr>
      <w:tr w:rsidR="00B3268F" w:rsidRPr="003A5126" w:rsidTr="003A5126">
        <w:tc>
          <w:tcPr>
            <w:tcW w:w="988" w:type="dxa"/>
          </w:tcPr>
          <w:p w:rsidR="00B3268F" w:rsidRPr="003A5126" w:rsidRDefault="00B3268F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2.(3.)*</w:t>
            </w:r>
          </w:p>
        </w:tc>
        <w:tc>
          <w:tcPr>
            <w:tcW w:w="5953" w:type="dxa"/>
          </w:tcPr>
          <w:p w:rsidR="00B3268F" w:rsidRDefault="00B3268F" w:rsidP="00D4426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Принятие новых расходных обязательств в пределах имеющихся источников финансирования</w:t>
            </w:r>
          </w:p>
        </w:tc>
        <w:tc>
          <w:tcPr>
            <w:tcW w:w="2126" w:type="dxa"/>
          </w:tcPr>
          <w:p w:rsidR="00B3268F" w:rsidRDefault="00AB1070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5493" w:type="dxa"/>
          </w:tcPr>
          <w:p w:rsidR="00B3268F" w:rsidRDefault="00AB1070" w:rsidP="00D4426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B326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труктурные подразделения райисполкома, райисполком, распорядители и получатели средств районного бюджета</w:t>
            </w:r>
          </w:p>
        </w:tc>
      </w:tr>
      <w:tr w:rsidR="00B3268F" w:rsidRPr="003A5126" w:rsidTr="003A5126">
        <w:tc>
          <w:tcPr>
            <w:tcW w:w="988" w:type="dxa"/>
          </w:tcPr>
          <w:p w:rsidR="00B3268F" w:rsidRDefault="00B3268F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3.(10.)*</w:t>
            </w:r>
          </w:p>
        </w:tc>
        <w:tc>
          <w:tcPr>
            <w:tcW w:w="5953" w:type="dxa"/>
          </w:tcPr>
          <w:p w:rsidR="00B3268F" w:rsidRDefault="00A62C9E" w:rsidP="00D4426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Ежегодная разработка и реализация комплекса мер по стабилизации финансового состояния подведомственных (входящих в состав, систему) организаций, формирующих фискальные риски для районного бюджета и допустивших в отчетном году несвоевременное исполнение обязательств  по возврату бюджетных ссуд, займов, иных видов государственной поддержки, оказанной на возвратной основе, по восстановлению исполненных за счет районного бюджета гарантий</w:t>
            </w:r>
          </w:p>
        </w:tc>
        <w:tc>
          <w:tcPr>
            <w:tcW w:w="2126" w:type="dxa"/>
          </w:tcPr>
          <w:p w:rsidR="00B3268F" w:rsidRDefault="00AB1070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5493" w:type="dxa"/>
          </w:tcPr>
          <w:p w:rsidR="00B3268F" w:rsidRDefault="00AB1070" w:rsidP="00D4426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райисполком, управление по сельскому хозяйству и продовольствию, государственное объединение «Витебский концерн «Мясо-молочные продукты» (далее – концерн «Мясо-молочные продукты»)</w:t>
            </w:r>
          </w:p>
        </w:tc>
      </w:tr>
      <w:tr w:rsidR="00AB1070" w:rsidRPr="003A5126" w:rsidTr="003A5126">
        <w:tc>
          <w:tcPr>
            <w:tcW w:w="988" w:type="dxa"/>
          </w:tcPr>
          <w:p w:rsidR="00AB1070" w:rsidRDefault="00AB1070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4.(11.)*</w:t>
            </w:r>
          </w:p>
        </w:tc>
        <w:tc>
          <w:tcPr>
            <w:tcW w:w="5953" w:type="dxa"/>
          </w:tcPr>
          <w:p w:rsidR="00AB1070" w:rsidRDefault="00AB1070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Подготовка и предоставление в Министерство финансов и Министерство экономики информации о ходе реализации комплекса мер по стабилизации финансового состояния подведомственных (входящих в состав, систему) организаций, формирующих фискальные риски для районного бюджета</w:t>
            </w:r>
          </w:p>
        </w:tc>
        <w:tc>
          <w:tcPr>
            <w:tcW w:w="2126" w:type="dxa"/>
          </w:tcPr>
          <w:p w:rsidR="00AB1070" w:rsidRDefault="00AB1070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5493" w:type="dxa"/>
          </w:tcPr>
          <w:p w:rsidR="00AB1070" w:rsidRDefault="00AB1070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райисполком, финансовый отдел, управление по сельскому хозяйству и продовольствию, концерн «Мясо-молочные продукты»</w:t>
            </w:r>
          </w:p>
        </w:tc>
      </w:tr>
      <w:tr w:rsidR="00AB1070" w:rsidRPr="003A5126" w:rsidTr="00CF7A61">
        <w:tc>
          <w:tcPr>
            <w:tcW w:w="14560" w:type="dxa"/>
            <w:gridSpan w:val="4"/>
          </w:tcPr>
          <w:p w:rsidR="00AB1070" w:rsidRDefault="00AB1070" w:rsidP="00AB107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 2. Повышение эффективности бюджетного планирования и бюджетных расходов</w:t>
            </w:r>
          </w:p>
        </w:tc>
      </w:tr>
      <w:tr w:rsidR="00AB1070" w:rsidRPr="003A5126" w:rsidTr="003A5126">
        <w:tc>
          <w:tcPr>
            <w:tcW w:w="988" w:type="dxa"/>
          </w:tcPr>
          <w:p w:rsidR="00AB1070" w:rsidRDefault="00AB1070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5.(16.)*</w:t>
            </w:r>
          </w:p>
        </w:tc>
        <w:tc>
          <w:tcPr>
            <w:tcW w:w="5953" w:type="dxa"/>
          </w:tcPr>
          <w:p w:rsidR="00AB1070" w:rsidRDefault="00AB1070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Участие в разработке проектов государственных программ в соответствие с перечнем государственных программ на 2021-2025 годы</w:t>
            </w:r>
          </w:p>
        </w:tc>
        <w:tc>
          <w:tcPr>
            <w:tcW w:w="2126" w:type="dxa"/>
          </w:tcPr>
          <w:p w:rsidR="00AB1070" w:rsidRDefault="00AB1070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493" w:type="dxa"/>
          </w:tcPr>
          <w:p w:rsidR="00AB1070" w:rsidRDefault="00AB1070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райисполком, структурные подразделения</w:t>
            </w:r>
          </w:p>
        </w:tc>
      </w:tr>
      <w:tr w:rsidR="00AB1070" w:rsidRPr="003A5126" w:rsidTr="00CF7A61">
        <w:tc>
          <w:tcPr>
            <w:tcW w:w="14560" w:type="dxa"/>
            <w:gridSpan w:val="4"/>
          </w:tcPr>
          <w:p w:rsidR="00AB1070" w:rsidRDefault="00E60295" w:rsidP="00AB107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 3. Выравнивание финансовых возможностей районного бюджета и стимулирование регионов к наращиванию собственной доходной базы</w:t>
            </w:r>
          </w:p>
        </w:tc>
      </w:tr>
      <w:tr w:rsidR="00AB1070" w:rsidRPr="003A5126" w:rsidTr="003A5126">
        <w:tc>
          <w:tcPr>
            <w:tcW w:w="988" w:type="dxa"/>
          </w:tcPr>
          <w:p w:rsidR="00AB1070" w:rsidRDefault="00E60295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6.(22.)*</w:t>
            </w:r>
          </w:p>
        </w:tc>
        <w:tc>
          <w:tcPr>
            <w:tcW w:w="5953" w:type="dxa"/>
          </w:tcPr>
          <w:p w:rsidR="00AB1070" w:rsidRDefault="00E60295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стабильных условий формирования районного бюджета за счет сохранения нормативов отчислений от республиканских налогов (сборов, пошлин) в районный бюджет на срок не менее трех лет</w:t>
            </w:r>
          </w:p>
        </w:tc>
        <w:tc>
          <w:tcPr>
            <w:tcW w:w="2126" w:type="dxa"/>
          </w:tcPr>
          <w:p w:rsidR="00AB1070" w:rsidRDefault="00E60295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5493" w:type="dxa"/>
          </w:tcPr>
          <w:p w:rsidR="00AB1070" w:rsidRDefault="00E60295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финансовый отдел, райисполком</w:t>
            </w:r>
          </w:p>
        </w:tc>
      </w:tr>
      <w:tr w:rsidR="00E60295" w:rsidRPr="003A5126" w:rsidTr="00CF7A61">
        <w:tc>
          <w:tcPr>
            <w:tcW w:w="14560" w:type="dxa"/>
            <w:gridSpan w:val="4"/>
          </w:tcPr>
          <w:p w:rsidR="00E60295" w:rsidRDefault="00E60295" w:rsidP="00E6029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2 «Управление государственным долгом, долгом органов местного управления и самоуправления»</w:t>
            </w:r>
          </w:p>
        </w:tc>
      </w:tr>
      <w:tr w:rsidR="00E60295" w:rsidRPr="003A5126" w:rsidTr="00CF7A61">
        <w:tc>
          <w:tcPr>
            <w:tcW w:w="14560" w:type="dxa"/>
            <w:gridSpan w:val="4"/>
          </w:tcPr>
          <w:p w:rsidR="00E60295" w:rsidRDefault="00E60295" w:rsidP="00E6029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Задача 4. Сохранение долговой нагрузки бюджетов регионов на экономически безопасном уровне</w:t>
            </w:r>
          </w:p>
        </w:tc>
      </w:tr>
      <w:tr w:rsidR="00E60295" w:rsidRPr="003A5126" w:rsidTr="003A5126">
        <w:tc>
          <w:tcPr>
            <w:tcW w:w="988" w:type="dxa"/>
          </w:tcPr>
          <w:p w:rsidR="00E60295" w:rsidRDefault="00E60295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(32.)*</w:t>
            </w:r>
          </w:p>
        </w:tc>
        <w:tc>
          <w:tcPr>
            <w:tcW w:w="5953" w:type="dxa"/>
          </w:tcPr>
          <w:p w:rsidR="00E60295" w:rsidRDefault="00E60295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Ежегодное установление лимита долга органов местного управления и самоуправления и лимита долга, гарантированного местными исполнительными и распорядительными органами</w:t>
            </w:r>
          </w:p>
        </w:tc>
        <w:tc>
          <w:tcPr>
            <w:tcW w:w="2126" w:type="dxa"/>
          </w:tcPr>
          <w:p w:rsidR="00E60295" w:rsidRDefault="00E60295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5493" w:type="dxa"/>
          </w:tcPr>
          <w:p w:rsidR="00E60295" w:rsidRDefault="00E60295" w:rsidP="00E6029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финансовый отдел, райисполком</w:t>
            </w:r>
          </w:p>
        </w:tc>
      </w:tr>
      <w:tr w:rsidR="00E60295" w:rsidRPr="003A5126" w:rsidTr="003A5126">
        <w:tc>
          <w:tcPr>
            <w:tcW w:w="988" w:type="dxa"/>
          </w:tcPr>
          <w:p w:rsidR="00E60295" w:rsidRDefault="00E60295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(33.)*</w:t>
            </w:r>
          </w:p>
        </w:tc>
        <w:tc>
          <w:tcPr>
            <w:tcW w:w="5953" w:type="dxa"/>
          </w:tcPr>
          <w:p w:rsidR="00E60295" w:rsidRDefault="00E60295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Запрет </w:t>
            </w:r>
            <w:r w:rsidR="00EF0A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эмиссии облигаций и предоставления гарантий при превышении лимита долга органов местного управления и самоуправления</w:t>
            </w:r>
          </w:p>
        </w:tc>
        <w:tc>
          <w:tcPr>
            <w:tcW w:w="2126" w:type="dxa"/>
          </w:tcPr>
          <w:p w:rsidR="00E60295" w:rsidRDefault="00EF0A7C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5493" w:type="dxa"/>
          </w:tcPr>
          <w:p w:rsidR="00E60295" w:rsidRDefault="00EF0A7C" w:rsidP="00E6029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финансовый отдел, райисполком</w:t>
            </w:r>
          </w:p>
        </w:tc>
      </w:tr>
      <w:tr w:rsidR="00EF0A7C" w:rsidRPr="003A5126" w:rsidTr="003A5126">
        <w:tc>
          <w:tcPr>
            <w:tcW w:w="988" w:type="dxa"/>
          </w:tcPr>
          <w:p w:rsidR="00EF0A7C" w:rsidRDefault="00EF0A7C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9.(34.)*</w:t>
            </w:r>
          </w:p>
        </w:tc>
        <w:tc>
          <w:tcPr>
            <w:tcW w:w="5953" w:type="dxa"/>
          </w:tcPr>
          <w:p w:rsidR="00EF0A7C" w:rsidRDefault="00844614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Разработка и выполнение комплекса мер по сокращению долга органов местного управления и самоуправления при превышении установленного лимита</w:t>
            </w:r>
          </w:p>
        </w:tc>
        <w:tc>
          <w:tcPr>
            <w:tcW w:w="2126" w:type="dxa"/>
          </w:tcPr>
          <w:p w:rsidR="00EF0A7C" w:rsidRDefault="00844614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5493" w:type="dxa"/>
          </w:tcPr>
          <w:p w:rsidR="00EF0A7C" w:rsidRDefault="00844614" w:rsidP="00E6029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финансовый отдел, райисполком, структурные подразделения райисполкома</w:t>
            </w:r>
          </w:p>
        </w:tc>
      </w:tr>
      <w:tr w:rsidR="00844614" w:rsidRPr="003A5126" w:rsidTr="003A5126">
        <w:tc>
          <w:tcPr>
            <w:tcW w:w="988" w:type="dxa"/>
          </w:tcPr>
          <w:p w:rsidR="00844614" w:rsidRDefault="00AE47E0" w:rsidP="003A512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10.(37.)*</w:t>
            </w:r>
          </w:p>
        </w:tc>
        <w:tc>
          <w:tcPr>
            <w:tcW w:w="5953" w:type="dxa"/>
          </w:tcPr>
          <w:p w:rsidR="00844614" w:rsidRDefault="00AE47E0" w:rsidP="00AB1070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взыскания с заемщиков сумм задолженности по переуступленным на районный бюджет требованиям банков по кредитам</w:t>
            </w:r>
          </w:p>
        </w:tc>
        <w:tc>
          <w:tcPr>
            <w:tcW w:w="2126" w:type="dxa"/>
          </w:tcPr>
          <w:p w:rsidR="00844614" w:rsidRDefault="00AE47E0" w:rsidP="003A512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5493" w:type="dxa"/>
          </w:tcPr>
          <w:p w:rsidR="00844614" w:rsidRDefault="00AE47E0" w:rsidP="00E60295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финансовый отдел , управление по сельскому хозяйству и продовольствию, райисполком, концерн «Мясо-молочные продукты»</w:t>
            </w:r>
          </w:p>
        </w:tc>
      </w:tr>
    </w:tbl>
    <w:p w:rsidR="003A5126" w:rsidRDefault="003A5126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3A5126" w:rsidRDefault="003A5126" w:rsidP="00AE47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D44260" w:rsidRPr="00D44260" w:rsidRDefault="00D44260" w:rsidP="00D4426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D442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Заказчиками-распорядителями средств </w:t>
      </w:r>
      <w:r w:rsidR="00E8561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районного</w:t>
      </w:r>
      <w:r w:rsidRPr="00D442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бюджета, направляемых на реализацию региональной программы, </w:t>
      </w:r>
      <w:r w:rsidR="00E8561A" w:rsidRPr="00D44260">
        <w:rPr>
          <w:rFonts w:ascii="Times New Roman" w:eastAsiaTheme="minorEastAsia" w:hAnsi="Times New Roman" w:cs="Times New Roman"/>
          <w:sz w:val="30"/>
          <w:szCs w:val="30"/>
          <w:lang w:eastAsia="ru-RU"/>
        </w:rPr>
        <w:t>являются финансовый</w:t>
      </w:r>
      <w:r w:rsidR="00E8561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отдел райисполкома</w:t>
      </w:r>
      <w:r w:rsidR="00E8561A" w:rsidRPr="00D44260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, </w:t>
      </w:r>
      <w:r w:rsidR="00E8561A" w:rsidRPr="00E8561A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 идеологической работы, культуры и по делам молодёжи</w:t>
      </w:r>
      <w:r w:rsidR="00E8561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райисполкома</w:t>
      </w:r>
      <w:r w:rsidRPr="00D442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</w:t>
      </w:r>
      <w:r w:rsidR="00E8561A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отдел</w:t>
      </w:r>
      <w:r w:rsidRPr="00D44260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по образованию </w:t>
      </w:r>
      <w:r w:rsidR="00E8561A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райисполкома</w:t>
      </w:r>
      <w:r w:rsidRPr="00D44260">
        <w:rPr>
          <w:rFonts w:ascii="Times New Roman" w:eastAsiaTheme="minorEastAsia" w:hAnsi="Times New Roman" w:cs="Times New Roman"/>
          <w:sz w:val="30"/>
          <w:szCs w:val="30"/>
          <w:lang w:eastAsia="ru-RU"/>
        </w:rPr>
        <w:t>, рай</w:t>
      </w:r>
      <w:r w:rsidR="00E8561A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онный исполнительный </w:t>
      </w:r>
      <w:r w:rsidRPr="00D44260">
        <w:rPr>
          <w:rFonts w:ascii="Times New Roman" w:eastAsiaTheme="minorEastAsia" w:hAnsi="Times New Roman" w:cs="Times New Roman"/>
          <w:sz w:val="30"/>
          <w:szCs w:val="30"/>
          <w:lang w:eastAsia="ru-RU"/>
        </w:rPr>
        <w:t>ком</w:t>
      </w:r>
      <w:r w:rsidR="00E8561A">
        <w:rPr>
          <w:rFonts w:ascii="Times New Roman" w:eastAsiaTheme="minorEastAsia" w:hAnsi="Times New Roman" w:cs="Times New Roman"/>
          <w:sz w:val="30"/>
          <w:szCs w:val="30"/>
          <w:lang w:eastAsia="ru-RU"/>
        </w:rPr>
        <w:t>итет</w:t>
      </w:r>
      <w:r w:rsidR="00F53AE3">
        <w:rPr>
          <w:rFonts w:ascii="Times New Roman" w:eastAsiaTheme="minorEastAsia" w:hAnsi="Times New Roman" w:cs="Times New Roman"/>
          <w:sz w:val="30"/>
          <w:szCs w:val="30"/>
          <w:lang w:eastAsia="ru-RU"/>
        </w:rPr>
        <w:t>, сельские исполнительные комитеты.</w:t>
      </w:r>
    </w:p>
    <w:p w:rsidR="00D44260" w:rsidRPr="00D44260" w:rsidRDefault="00D44260" w:rsidP="00D44260">
      <w:pPr>
        <w:spacing w:after="0" w:line="240" w:lineRule="auto"/>
        <w:ind w:right="-31"/>
        <w:jc w:val="both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</w:p>
    <w:p w:rsidR="00D44260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D44260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D44260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p w:rsidR="00D44260" w:rsidRPr="007D0AB3" w:rsidRDefault="00D44260" w:rsidP="00F529DF">
      <w:pPr>
        <w:pStyle w:val="newncpi"/>
        <w:tabs>
          <w:tab w:val="left" w:pos="6804"/>
        </w:tabs>
        <w:ind w:firstLine="0"/>
        <w:rPr>
          <w:rFonts w:eastAsia="Times New Roman"/>
        </w:rPr>
      </w:pPr>
    </w:p>
    <w:sectPr w:rsidR="00D44260" w:rsidRPr="007D0AB3" w:rsidSect="00AB3A76">
      <w:pgSz w:w="16838" w:h="11906" w:orient="landscape"/>
      <w:pgMar w:top="1134" w:right="1134" w:bottom="567" w:left="1134" w:header="278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3A76" w:rsidRDefault="00AB3A76" w:rsidP="00585A8C">
      <w:pPr>
        <w:spacing w:after="0" w:line="240" w:lineRule="auto"/>
      </w:pPr>
      <w:r>
        <w:separator/>
      </w:r>
    </w:p>
  </w:endnote>
  <w:endnote w:type="continuationSeparator" w:id="0">
    <w:p w:rsidR="00AB3A76" w:rsidRDefault="00AB3A76" w:rsidP="0058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3A76" w:rsidRDefault="00AB3A76" w:rsidP="00585A8C">
      <w:pPr>
        <w:spacing w:after="0" w:line="240" w:lineRule="auto"/>
      </w:pPr>
      <w:r>
        <w:separator/>
      </w:r>
    </w:p>
  </w:footnote>
  <w:footnote w:type="continuationSeparator" w:id="0">
    <w:p w:rsidR="00AB3A76" w:rsidRDefault="00AB3A76" w:rsidP="0058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0F97" w:rsidRDefault="00190F97" w:rsidP="00E8061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190F97" w:rsidRDefault="00190F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6082965"/>
      <w:docPartObj>
        <w:docPartGallery w:val="Page Numbers (Top of Page)"/>
        <w:docPartUnique/>
      </w:docPartObj>
    </w:sdtPr>
    <w:sdtContent>
      <w:p w:rsidR="00190F97" w:rsidRDefault="00190F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190F97" w:rsidRDefault="00190F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13DF"/>
    <w:multiLevelType w:val="hybridMultilevel"/>
    <w:tmpl w:val="52AE4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87E5A"/>
    <w:multiLevelType w:val="hybridMultilevel"/>
    <w:tmpl w:val="F6FE37D0"/>
    <w:lvl w:ilvl="0" w:tplc="EBFE0EF4">
      <w:start w:val="2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1AD47202"/>
    <w:multiLevelType w:val="hybridMultilevel"/>
    <w:tmpl w:val="A8CAF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0B63"/>
    <w:multiLevelType w:val="hybridMultilevel"/>
    <w:tmpl w:val="2C2AC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D09F6"/>
    <w:multiLevelType w:val="multilevel"/>
    <w:tmpl w:val="62F4C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135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2F04616"/>
    <w:multiLevelType w:val="hybridMultilevel"/>
    <w:tmpl w:val="A8CAF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A1069"/>
    <w:multiLevelType w:val="hybridMultilevel"/>
    <w:tmpl w:val="766443AC"/>
    <w:lvl w:ilvl="0" w:tplc="E7F090B8">
      <w:start w:val="1"/>
      <w:numFmt w:val="decimal"/>
      <w:lvlText w:val="%1."/>
      <w:lvlJc w:val="left"/>
      <w:pPr>
        <w:tabs>
          <w:tab w:val="num" w:pos="875"/>
        </w:tabs>
        <w:ind w:left="8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7" w15:restartNumberingAfterBreak="0">
    <w:nsid w:val="54A80732"/>
    <w:multiLevelType w:val="hybridMultilevel"/>
    <w:tmpl w:val="A608E9F0"/>
    <w:lvl w:ilvl="0" w:tplc="B3C8B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527E9A"/>
    <w:multiLevelType w:val="hybridMultilevel"/>
    <w:tmpl w:val="A7E22A92"/>
    <w:lvl w:ilvl="0" w:tplc="F30A4E1A">
      <w:start w:val="16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8E96267"/>
    <w:multiLevelType w:val="hybridMultilevel"/>
    <w:tmpl w:val="A8CAF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720339">
    <w:abstractNumId w:val="5"/>
  </w:num>
  <w:num w:numId="2" w16cid:durableId="224949885">
    <w:abstractNumId w:val="8"/>
  </w:num>
  <w:num w:numId="3" w16cid:durableId="233783235">
    <w:abstractNumId w:val="2"/>
  </w:num>
  <w:num w:numId="4" w16cid:durableId="1884057190">
    <w:abstractNumId w:val="9"/>
  </w:num>
  <w:num w:numId="5" w16cid:durableId="331106599">
    <w:abstractNumId w:val="4"/>
  </w:num>
  <w:num w:numId="6" w16cid:durableId="356322470">
    <w:abstractNumId w:val="1"/>
  </w:num>
  <w:num w:numId="7" w16cid:durableId="151725430">
    <w:abstractNumId w:val="6"/>
  </w:num>
  <w:num w:numId="8" w16cid:durableId="1761633432">
    <w:abstractNumId w:val="3"/>
  </w:num>
  <w:num w:numId="9" w16cid:durableId="268585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1340546">
    <w:abstractNumId w:val="0"/>
  </w:num>
  <w:num w:numId="11" w16cid:durableId="225575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8C"/>
    <w:rsid w:val="0000219D"/>
    <w:rsid w:val="000059B2"/>
    <w:rsid w:val="00014173"/>
    <w:rsid w:val="000233EB"/>
    <w:rsid w:val="000242C7"/>
    <w:rsid w:val="00026482"/>
    <w:rsid w:val="00026A16"/>
    <w:rsid w:val="00033CBD"/>
    <w:rsid w:val="0003684E"/>
    <w:rsid w:val="00042C75"/>
    <w:rsid w:val="00073B55"/>
    <w:rsid w:val="00077314"/>
    <w:rsid w:val="00082591"/>
    <w:rsid w:val="000928F9"/>
    <w:rsid w:val="000A06D1"/>
    <w:rsid w:val="000A1B66"/>
    <w:rsid w:val="000A1D24"/>
    <w:rsid w:val="000A38C1"/>
    <w:rsid w:val="000A461C"/>
    <w:rsid w:val="000A4903"/>
    <w:rsid w:val="000B40AD"/>
    <w:rsid w:val="000B4CFE"/>
    <w:rsid w:val="000C5DF3"/>
    <w:rsid w:val="000E2A2B"/>
    <w:rsid w:val="00103426"/>
    <w:rsid w:val="00103BA9"/>
    <w:rsid w:val="00106B77"/>
    <w:rsid w:val="00113B7F"/>
    <w:rsid w:val="001173FD"/>
    <w:rsid w:val="00133294"/>
    <w:rsid w:val="0013503E"/>
    <w:rsid w:val="00153762"/>
    <w:rsid w:val="00171FA3"/>
    <w:rsid w:val="00172291"/>
    <w:rsid w:val="00190F97"/>
    <w:rsid w:val="00194249"/>
    <w:rsid w:val="001A1C66"/>
    <w:rsid w:val="001A60E6"/>
    <w:rsid w:val="001A6386"/>
    <w:rsid w:val="001B00EF"/>
    <w:rsid w:val="001C26E1"/>
    <w:rsid w:val="001C27A6"/>
    <w:rsid w:val="001D0990"/>
    <w:rsid w:val="001D789C"/>
    <w:rsid w:val="001D7D0D"/>
    <w:rsid w:val="001E1A77"/>
    <w:rsid w:val="001F0F0D"/>
    <w:rsid w:val="002054F8"/>
    <w:rsid w:val="002055DB"/>
    <w:rsid w:val="002079E1"/>
    <w:rsid w:val="0021512B"/>
    <w:rsid w:val="00221400"/>
    <w:rsid w:val="0022145E"/>
    <w:rsid w:val="00226E64"/>
    <w:rsid w:val="002333FC"/>
    <w:rsid w:val="00241858"/>
    <w:rsid w:val="00243090"/>
    <w:rsid w:val="00250550"/>
    <w:rsid w:val="0026365E"/>
    <w:rsid w:val="00265DFC"/>
    <w:rsid w:val="00271B43"/>
    <w:rsid w:val="00280E9A"/>
    <w:rsid w:val="002A5981"/>
    <w:rsid w:val="002A5B46"/>
    <w:rsid w:val="002B029B"/>
    <w:rsid w:val="002B3295"/>
    <w:rsid w:val="002C3B3F"/>
    <w:rsid w:val="002C63F2"/>
    <w:rsid w:val="002D38AA"/>
    <w:rsid w:val="002E4349"/>
    <w:rsid w:val="002E683F"/>
    <w:rsid w:val="002E6FCF"/>
    <w:rsid w:val="00301D82"/>
    <w:rsid w:val="00314B42"/>
    <w:rsid w:val="003221B5"/>
    <w:rsid w:val="00330524"/>
    <w:rsid w:val="00330AAF"/>
    <w:rsid w:val="00337506"/>
    <w:rsid w:val="00353532"/>
    <w:rsid w:val="003557E9"/>
    <w:rsid w:val="00355A75"/>
    <w:rsid w:val="003711B4"/>
    <w:rsid w:val="0037309F"/>
    <w:rsid w:val="0037388C"/>
    <w:rsid w:val="00392287"/>
    <w:rsid w:val="003A0DEB"/>
    <w:rsid w:val="003A5126"/>
    <w:rsid w:val="003A7090"/>
    <w:rsid w:val="003C1B4D"/>
    <w:rsid w:val="003C731B"/>
    <w:rsid w:val="003D3796"/>
    <w:rsid w:val="003D66EE"/>
    <w:rsid w:val="003D671E"/>
    <w:rsid w:val="003E07B9"/>
    <w:rsid w:val="003E4525"/>
    <w:rsid w:val="003E75B6"/>
    <w:rsid w:val="00401E29"/>
    <w:rsid w:val="00411BA5"/>
    <w:rsid w:val="004217C7"/>
    <w:rsid w:val="00426004"/>
    <w:rsid w:val="00444EFF"/>
    <w:rsid w:val="004462DA"/>
    <w:rsid w:val="0045367D"/>
    <w:rsid w:val="00470578"/>
    <w:rsid w:val="00472E8D"/>
    <w:rsid w:val="0047741C"/>
    <w:rsid w:val="004774B6"/>
    <w:rsid w:val="0048223C"/>
    <w:rsid w:val="00485C52"/>
    <w:rsid w:val="00496E15"/>
    <w:rsid w:val="004A28AD"/>
    <w:rsid w:val="004A30DA"/>
    <w:rsid w:val="004A4B85"/>
    <w:rsid w:val="004B03C2"/>
    <w:rsid w:val="004B2086"/>
    <w:rsid w:val="004D379F"/>
    <w:rsid w:val="004D7E21"/>
    <w:rsid w:val="004E2D66"/>
    <w:rsid w:val="004E3C31"/>
    <w:rsid w:val="004E4C94"/>
    <w:rsid w:val="004E6A83"/>
    <w:rsid w:val="0050091A"/>
    <w:rsid w:val="005021E2"/>
    <w:rsid w:val="005034A4"/>
    <w:rsid w:val="00517C6F"/>
    <w:rsid w:val="00524C79"/>
    <w:rsid w:val="00524E3E"/>
    <w:rsid w:val="005304E9"/>
    <w:rsid w:val="00530ABC"/>
    <w:rsid w:val="00530C46"/>
    <w:rsid w:val="00543ED8"/>
    <w:rsid w:val="0054767F"/>
    <w:rsid w:val="00547A52"/>
    <w:rsid w:val="00565C4D"/>
    <w:rsid w:val="0057310E"/>
    <w:rsid w:val="00583154"/>
    <w:rsid w:val="00585A8C"/>
    <w:rsid w:val="00585CB7"/>
    <w:rsid w:val="005916D4"/>
    <w:rsid w:val="005B13E5"/>
    <w:rsid w:val="005B213F"/>
    <w:rsid w:val="005B38AC"/>
    <w:rsid w:val="005C4B55"/>
    <w:rsid w:val="005D2E97"/>
    <w:rsid w:val="005E32CF"/>
    <w:rsid w:val="005E56FF"/>
    <w:rsid w:val="0060460D"/>
    <w:rsid w:val="00624011"/>
    <w:rsid w:val="006308E0"/>
    <w:rsid w:val="00635EA1"/>
    <w:rsid w:val="00641DA9"/>
    <w:rsid w:val="00644592"/>
    <w:rsid w:val="006451FA"/>
    <w:rsid w:val="0064730A"/>
    <w:rsid w:val="0065189A"/>
    <w:rsid w:val="00664E44"/>
    <w:rsid w:val="006748F8"/>
    <w:rsid w:val="00681214"/>
    <w:rsid w:val="00691FC0"/>
    <w:rsid w:val="00697034"/>
    <w:rsid w:val="006979A1"/>
    <w:rsid w:val="006A102A"/>
    <w:rsid w:val="006A1A3A"/>
    <w:rsid w:val="006A6116"/>
    <w:rsid w:val="006A64FA"/>
    <w:rsid w:val="006C5026"/>
    <w:rsid w:val="006C596D"/>
    <w:rsid w:val="006C7123"/>
    <w:rsid w:val="006E32EC"/>
    <w:rsid w:val="006E782D"/>
    <w:rsid w:val="006F3EED"/>
    <w:rsid w:val="006F4D93"/>
    <w:rsid w:val="00700B48"/>
    <w:rsid w:val="007023F2"/>
    <w:rsid w:val="00702CBF"/>
    <w:rsid w:val="00717BFE"/>
    <w:rsid w:val="007204AF"/>
    <w:rsid w:val="00730DA4"/>
    <w:rsid w:val="00735E3B"/>
    <w:rsid w:val="0074548A"/>
    <w:rsid w:val="007468A1"/>
    <w:rsid w:val="00756AFC"/>
    <w:rsid w:val="00776945"/>
    <w:rsid w:val="00785D6C"/>
    <w:rsid w:val="007916C6"/>
    <w:rsid w:val="007A111B"/>
    <w:rsid w:val="007A3E43"/>
    <w:rsid w:val="007B6D76"/>
    <w:rsid w:val="007C4173"/>
    <w:rsid w:val="007C4BB1"/>
    <w:rsid w:val="007D0AB3"/>
    <w:rsid w:val="007D21FF"/>
    <w:rsid w:val="007D5260"/>
    <w:rsid w:val="007D78A5"/>
    <w:rsid w:val="007E2297"/>
    <w:rsid w:val="007F5D91"/>
    <w:rsid w:val="00802D3D"/>
    <w:rsid w:val="00816FBD"/>
    <w:rsid w:val="008170D0"/>
    <w:rsid w:val="00820CED"/>
    <w:rsid w:val="00821F8D"/>
    <w:rsid w:val="00825489"/>
    <w:rsid w:val="008261B1"/>
    <w:rsid w:val="008344CD"/>
    <w:rsid w:val="00836904"/>
    <w:rsid w:val="00842DAF"/>
    <w:rsid w:val="00844614"/>
    <w:rsid w:val="008546F7"/>
    <w:rsid w:val="00856A27"/>
    <w:rsid w:val="00861DE0"/>
    <w:rsid w:val="00865E50"/>
    <w:rsid w:val="00867241"/>
    <w:rsid w:val="00881FE9"/>
    <w:rsid w:val="00882EB4"/>
    <w:rsid w:val="00883886"/>
    <w:rsid w:val="0089412A"/>
    <w:rsid w:val="00896306"/>
    <w:rsid w:val="008A633A"/>
    <w:rsid w:val="008D0A0F"/>
    <w:rsid w:val="008D2F5A"/>
    <w:rsid w:val="008D2FF3"/>
    <w:rsid w:val="008D482D"/>
    <w:rsid w:val="008E12FD"/>
    <w:rsid w:val="009004FB"/>
    <w:rsid w:val="00905CC0"/>
    <w:rsid w:val="00907DE1"/>
    <w:rsid w:val="009153CE"/>
    <w:rsid w:val="009159C8"/>
    <w:rsid w:val="00933296"/>
    <w:rsid w:val="00933E5E"/>
    <w:rsid w:val="0094728F"/>
    <w:rsid w:val="00951657"/>
    <w:rsid w:val="00953893"/>
    <w:rsid w:val="0096155C"/>
    <w:rsid w:val="00963C0B"/>
    <w:rsid w:val="00963EB0"/>
    <w:rsid w:val="0096776D"/>
    <w:rsid w:val="00971123"/>
    <w:rsid w:val="00973929"/>
    <w:rsid w:val="0099417E"/>
    <w:rsid w:val="009B17FB"/>
    <w:rsid w:val="009B1FAA"/>
    <w:rsid w:val="009B46F7"/>
    <w:rsid w:val="009D266E"/>
    <w:rsid w:val="009E3F89"/>
    <w:rsid w:val="009E6C8A"/>
    <w:rsid w:val="009F29D4"/>
    <w:rsid w:val="00A0181B"/>
    <w:rsid w:val="00A0190F"/>
    <w:rsid w:val="00A10A12"/>
    <w:rsid w:val="00A10E21"/>
    <w:rsid w:val="00A111B1"/>
    <w:rsid w:val="00A12D9A"/>
    <w:rsid w:val="00A17E8A"/>
    <w:rsid w:val="00A229C1"/>
    <w:rsid w:val="00A24603"/>
    <w:rsid w:val="00A25BEB"/>
    <w:rsid w:val="00A2766F"/>
    <w:rsid w:val="00A57383"/>
    <w:rsid w:val="00A62C9E"/>
    <w:rsid w:val="00A63D50"/>
    <w:rsid w:val="00A64AB1"/>
    <w:rsid w:val="00A713C5"/>
    <w:rsid w:val="00A730C2"/>
    <w:rsid w:val="00A80FD1"/>
    <w:rsid w:val="00A8263D"/>
    <w:rsid w:val="00A86CD3"/>
    <w:rsid w:val="00A9277A"/>
    <w:rsid w:val="00A93D3F"/>
    <w:rsid w:val="00AB1070"/>
    <w:rsid w:val="00AB3A76"/>
    <w:rsid w:val="00AB4990"/>
    <w:rsid w:val="00AB6474"/>
    <w:rsid w:val="00AE217E"/>
    <w:rsid w:val="00AE47E0"/>
    <w:rsid w:val="00AE6BD4"/>
    <w:rsid w:val="00AF6202"/>
    <w:rsid w:val="00B054C8"/>
    <w:rsid w:val="00B07560"/>
    <w:rsid w:val="00B10B63"/>
    <w:rsid w:val="00B3268F"/>
    <w:rsid w:val="00B3510D"/>
    <w:rsid w:val="00B36021"/>
    <w:rsid w:val="00B419C7"/>
    <w:rsid w:val="00B41C44"/>
    <w:rsid w:val="00B502A8"/>
    <w:rsid w:val="00B523BC"/>
    <w:rsid w:val="00B809B9"/>
    <w:rsid w:val="00B84DEA"/>
    <w:rsid w:val="00B96651"/>
    <w:rsid w:val="00BA2FF4"/>
    <w:rsid w:val="00BB0B40"/>
    <w:rsid w:val="00BB3F97"/>
    <w:rsid w:val="00BB3FB0"/>
    <w:rsid w:val="00BB4953"/>
    <w:rsid w:val="00BB736B"/>
    <w:rsid w:val="00BC36B7"/>
    <w:rsid w:val="00BD204C"/>
    <w:rsid w:val="00BD4B64"/>
    <w:rsid w:val="00BE4C76"/>
    <w:rsid w:val="00BF409A"/>
    <w:rsid w:val="00C06034"/>
    <w:rsid w:val="00C11D95"/>
    <w:rsid w:val="00C13F7C"/>
    <w:rsid w:val="00C17DD9"/>
    <w:rsid w:val="00C305C9"/>
    <w:rsid w:val="00C343C9"/>
    <w:rsid w:val="00C353D2"/>
    <w:rsid w:val="00C37236"/>
    <w:rsid w:val="00C3786C"/>
    <w:rsid w:val="00C451DC"/>
    <w:rsid w:val="00C6253D"/>
    <w:rsid w:val="00C80349"/>
    <w:rsid w:val="00C803C1"/>
    <w:rsid w:val="00C819C1"/>
    <w:rsid w:val="00C83595"/>
    <w:rsid w:val="00C9440A"/>
    <w:rsid w:val="00CA4035"/>
    <w:rsid w:val="00CB56C4"/>
    <w:rsid w:val="00CC1BA8"/>
    <w:rsid w:val="00CC4D86"/>
    <w:rsid w:val="00CD552E"/>
    <w:rsid w:val="00CF0022"/>
    <w:rsid w:val="00CF2AB0"/>
    <w:rsid w:val="00CF79EF"/>
    <w:rsid w:val="00CF7A61"/>
    <w:rsid w:val="00D122C5"/>
    <w:rsid w:val="00D131E7"/>
    <w:rsid w:val="00D134AA"/>
    <w:rsid w:val="00D2382F"/>
    <w:rsid w:val="00D36BB7"/>
    <w:rsid w:val="00D3719C"/>
    <w:rsid w:val="00D4226A"/>
    <w:rsid w:val="00D44260"/>
    <w:rsid w:val="00D46D68"/>
    <w:rsid w:val="00D47C30"/>
    <w:rsid w:val="00D5090C"/>
    <w:rsid w:val="00D51CD4"/>
    <w:rsid w:val="00D7194B"/>
    <w:rsid w:val="00D73EAB"/>
    <w:rsid w:val="00DB053A"/>
    <w:rsid w:val="00DB0C2E"/>
    <w:rsid w:val="00DC09F1"/>
    <w:rsid w:val="00DC60E9"/>
    <w:rsid w:val="00DD60BB"/>
    <w:rsid w:val="00DE463A"/>
    <w:rsid w:val="00DF77B8"/>
    <w:rsid w:val="00E0672D"/>
    <w:rsid w:val="00E07EEB"/>
    <w:rsid w:val="00E10899"/>
    <w:rsid w:val="00E24533"/>
    <w:rsid w:val="00E26EB9"/>
    <w:rsid w:val="00E32373"/>
    <w:rsid w:val="00E35D41"/>
    <w:rsid w:val="00E37C57"/>
    <w:rsid w:val="00E44CC2"/>
    <w:rsid w:val="00E46AA5"/>
    <w:rsid w:val="00E55ECB"/>
    <w:rsid w:val="00E60295"/>
    <w:rsid w:val="00E609E1"/>
    <w:rsid w:val="00E60F09"/>
    <w:rsid w:val="00E63543"/>
    <w:rsid w:val="00E65AFB"/>
    <w:rsid w:val="00E66BAE"/>
    <w:rsid w:val="00E6768D"/>
    <w:rsid w:val="00E773E9"/>
    <w:rsid w:val="00E80610"/>
    <w:rsid w:val="00E80FDD"/>
    <w:rsid w:val="00E8561A"/>
    <w:rsid w:val="00EA47D6"/>
    <w:rsid w:val="00EC3074"/>
    <w:rsid w:val="00ED4F15"/>
    <w:rsid w:val="00EE30A5"/>
    <w:rsid w:val="00EF0A7C"/>
    <w:rsid w:val="00F00DAC"/>
    <w:rsid w:val="00F05D70"/>
    <w:rsid w:val="00F12F1D"/>
    <w:rsid w:val="00F24B36"/>
    <w:rsid w:val="00F25E2E"/>
    <w:rsid w:val="00F3612B"/>
    <w:rsid w:val="00F403F2"/>
    <w:rsid w:val="00F41577"/>
    <w:rsid w:val="00F4239B"/>
    <w:rsid w:val="00F50B5E"/>
    <w:rsid w:val="00F50D29"/>
    <w:rsid w:val="00F529DF"/>
    <w:rsid w:val="00F53AE3"/>
    <w:rsid w:val="00F60F4F"/>
    <w:rsid w:val="00F6516A"/>
    <w:rsid w:val="00F7080E"/>
    <w:rsid w:val="00F80A27"/>
    <w:rsid w:val="00F856A6"/>
    <w:rsid w:val="00F867D5"/>
    <w:rsid w:val="00F96E8D"/>
    <w:rsid w:val="00FA768F"/>
    <w:rsid w:val="00FB1AF9"/>
    <w:rsid w:val="00FC2337"/>
    <w:rsid w:val="00FC76CF"/>
    <w:rsid w:val="00FD3239"/>
    <w:rsid w:val="00FD5FC0"/>
    <w:rsid w:val="00FD64A8"/>
    <w:rsid w:val="00FE6CE0"/>
    <w:rsid w:val="00FE79BF"/>
    <w:rsid w:val="00FE7D72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64701"/>
  <w15:chartTrackingRefBased/>
  <w15:docId w15:val="{60DD59C9-89A9-4FD5-AF1E-EC81B667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E3B"/>
  </w:style>
  <w:style w:type="paragraph" w:styleId="1">
    <w:name w:val="heading 1"/>
    <w:basedOn w:val="a"/>
    <w:next w:val="a"/>
    <w:link w:val="10"/>
    <w:uiPriority w:val="9"/>
    <w:qFormat/>
    <w:rsid w:val="00207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44260"/>
    <w:pPr>
      <w:keepNext/>
      <w:spacing w:after="0" w:line="280" w:lineRule="exact"/>
      <w:jc w:val="center"/>
      <w:outlineLvl w:val="2"/>
    </w:pPr>
    <w:rPr>
      <w:rFonts w:ascii="Times New Roman" w:eastAsia="Times New Roman" w:hAnsi="Times New Roman" w:cs="Times New Roman"/>
      <w:b/>
      <w:kern w:val="2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A8C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585A8C"/>
    <w:rPr>
      <w:color w:val="154C94"/>
      <w:u w:val="single"/>
    </w:rPr>
  </w:style>
  <w:style w:type="paragraph" w:customStyle="1" w:styleId="msonormal0">
    <w:name w:val="msonormal"/>
    <w:basedOn w:val="a"/>
    <w:rsid w:val="00585A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585A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585A8C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585A8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585A8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585A8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585A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585A8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585A8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585A8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585A8C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585A8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585A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85A8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585A8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585A8C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585A8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585A8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85A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85A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585A8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585A8C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585A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585A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585A8C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585A8C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85A8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85A8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585A8C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585A8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585A8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585A8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85A8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585A8C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585A8C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585A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585A8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585A8C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85A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585A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585A8C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585A8C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585A8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585A8C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585A8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585A8C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585A8C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585A8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585A8C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585A8C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585A8C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585A8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585A8C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585A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585A8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585A8C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585A8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585A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585A8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85A8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85A8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85A8C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585A8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585A8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85A8C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85A8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85A8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85A8C"/>
    <w:rPr>
      <w:rFonts w:ascii="Symbol" w:hAnsi="Symbol" w:hint="default"/>
    </w:rPr>
  </w:style>
  <w:style w:type="character" w:customStyle="1" w:styleId="onewind3">
    <w:name w:val="onewind3"/>
    <w:basedOn w:val="a0"/>
    <w:rsid w:val="00585A8C"/>
    <w:rPr>
      <w:rFonts w:ascii="Wingdings 3" w:hAnsi="Wingdings 3" w:hint="default"/>
    </w:rPr>
  </w:style>
  <w:style w:type="character" w:customStyle="1" w:styleId="onewind2">
    <w:name w:val="onewind2"/>
    <w:basedOn w:val="a0"/>
    <w:rsid w:val="00585A8C"/>
    <w:rPr>
      <w:rFonts w:ascii="Wingdings 2" w:hAnsi="Wingdings 2" w:hint="default"/>
    </w:rPr>
  </w:style>
  <w:style w:type="character" w:customStyle="1" w:styleId="onewind">
    <w:name w:val="onewind"/>
    <w:basedOn w:val="a0"/>
    <w:rsid w:val="00585A8C"/>
    <w:rPr>
      <w:rFonts w:ascii="Wingdings" w:hAnsi="Wingdings" w:hint="default"/>
    </w:rPr>
  </w:style>
  <w:style w:type="character" w:customStyle="1" w:styleId="rednoun">
    <w:name w:val="rednoun"/>
    <w:basedOn w:val="a0"/>
    <w:rsid w:val="00585A8C"/>
  </w:style>
  <w:style w:type="character" w:customStyle="1" w:styleId="post">
    <w:name w:val="post"/>
    <w:basedOn w:val="a0"/>
    <w:rsid w:val="00585A8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85A8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585A8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85A8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85A8C"/>
    <w:rPr>
      <w:rFonts w:ascii="Arial" w:hAnsi="Arial" w:cs="Arial" w:hint="default"/>
    </w:rPr>
  </w:style>
  <w:style w:type="character" w:customStyle="1" w:styleId="snoskiindex">
    <w:name w:val="snoskiindex"/>
    <w:basedOn w:val="a0"/>
    <w:rsid w:val="00585A8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58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af1">
    <w:name w:val="af1"/>
    <w:basedOn w:val="a0"/>
    <w:rsid w:val="00585A8C"/>
  </w:style>
  <w:style w:type="paragraph" w:styleId="a5">
    <w:name w:val="header"/>
    <w:basedOn w:val="a"/>
    <w:link w:val="a6"/>
    <w:uiPriority w:val="99"/>
    <w:unhideWhenUsed/>
    <w:rsid w:val="0058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A8C"/>
  </w:style>
  <w:style w:type="paragraph" w:styleId="a7">
    <w:name w:val="footer"/>
    <w:basedOn w:val="a"/>
    <w:link w:val="a8"/>
    <w:unhideWhenUsed/>
    <w:rsid w:val="0058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85A8C"/>
  </w:style>
  <w:style w:type="character" w:styleId="a9">
    <w:name w:val="page number"/>
    <w:basedOn w:val="a0"/>
    <w:unhideWhenUsed/>
    <w:rsid w:val="00585A8C"/>
  </w:style>
  <w:style w:type="table" w:styleId="aa">
    <w:name w:val="Table Grid"/>
    <w:basedOn w:val="a1"/>
    <w:uiPriority w:val="39"/>
    <w:rsid w:val="0058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173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E3C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3C3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3C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3C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3C31"/>
    <w:rPr>
      <w:b/>
      <w:bCs/>
      <w:sz w:val="20"/>
      <w:szCs w:val="20"/>
    </w:rPr>
  </w:style>
  <w:style w:type="paragraph" w:styleId="af2">
    <w:name w:val="Balloon Text"/>
    <w:basedOn w:val="a"/>
    <w:link w:val="af3"/>
    <w:semiHidden/>
    <w:unhideWhenUsed/>
    <w:rsid w:val="004E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4E3C31"/>
    <w:rPr>
      <w:rFonts w:ascii="Segoe UI" w:hAnsi="Segoe UI" w:cs="Segoe UI"/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FF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44260"/>
    <w:rPr>
      <w:rFonts w:ascii="Times New Roman" w:eastAsia="Times New Roman" w:hAnsi="Times New Roman" w:cs="Times New Roman"/>
      <w:b/>
      <w:kern w:val="2"/>
      <w:sz w:val="25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44260"/>
  </w:style>
  <w:style w:type="numbering" w:customStyle="1" w:styleId="110">
    <w:name w:val="Нет списка11"/>
    <w:next w:val="a2"/>
    <w:semiHidden/>
    <w:unhideWhenUsed/>
    <w:rsid w:val="00D44260"/>
  </w:style>
  <w:style w:type="table" w:customStyle="1" w:styleId="13">
    <w:name w:val="Сетка таблицы1"/>
    <w:basedOn w:val="a1"/>
    <w:next w:val="aa"/>
    <w:rsid w:val="00D44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D4426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D442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D44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4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Знак1"/>
    <w:basedOn w:val="a"/>
    <w:rsid w:val="00D4426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Шульга П. П. (Минфин)"/>
    <w:basedOn w:val="a"/>
    <w:rsid w:val="00D4426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Body Text Indent"/>
    <w:basedOn w:val="a"/>
    <w:link w:val="af9"/>
    <w:rsid w:val="00D4426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D442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a">
    <w:name w:val="footnote text"/>
    <w:basedOn w:val="a"/>
    <w:link w:val="afb"/>
    <w:uiPriority w:val="99"/>
    <w:semiHidden/>
    <w:unhideWhenUsed/>
    <w:rsid w:val="00702CBF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702CBF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702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17DFB-5B46-4F50-ADF9-C1B92358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Ющенко Инна Владимировна</dc:creator>
  <cp:keywords/>
  <dc:description/>
  <cp:lastModifiedBy>User</cp:lastModifiedBy>
  <cp:revision>8</cp:revision>
  <cp:lastPrinted>2024-03-04T09:06:00Z</cp:lastPrinted>
  <dcterms:created xsi:type="dcterms:W3CDTF">2022-12-26T13:52:00Z</dcterms:created>
  <dcterms:modified xsi:type="dcterms:W3CDTF">2024-03-04T09:08:00Z</dcterms:modified>
</cp:coreProperties>
</file>