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B9" w:rsidRDefault="00FF60AA">
      <w:pPr>
        <w:pStyle w:val="a00"/>
        <w:rPr>
          <w:color w:val="000000"/>
        </w:rPr>
      </w:pPr>
      <w:bookmarkStart w:id="0" w:name="a11"/>
      <w:bookmarkEnd w:id="0"/>
      <w:r>
        <w:rPr>
          <w:color w:val="000000"/>
        </w:rPr>
        <w:t> </w:t>
      </w:r>
    </w:p>
    <w:p w:rsidR="008018B9" w:rsidRDefault="008018B9">
      <w:pPr>
        <w:shd w:val="clear" w:color="auto" w:fill="FFFFFF"/>
        <w:jc w:val="right"/>
        <w:divId w:val="84376603"/>
        <w:rPr>
          <w:rFonts w:ascii="Arial" w:eastAsia="Times New Roman" w:hAnsi="Arial" w:cs="Arial"/>
          <w:color w:val="000000"/>
          <w:sz w:val="23"/>
          <w:szCs w:val="23"/>
        </w:rPr>
      </w:pPr>
      <w:bookmarkStart w:id="1" w:name="_GoBack"/>
      <w:bookmarkEnd w:id="1"/>
    </w:p>
    <w:p w:rsidR="008018B9" w:rsidRDefault="00FF60AA">
      <w:pPr>
        <w:pStyle w:val="1"/>
        <w:rPr>
          <w:rFonts w:eastAsia="Times New Roman"/>
        </w:rPr>
      </w:pPr>
      <w:r>
        <w:rPr>
          <w:rFonts w:eastAsia="Times New Roman"/>
        </w:rPr>
        <w:t>Обновлены Правила по охране труда при выполнении строительных работ</w:t>
      </w:r>
    </w:p>
    <w:tbl>
      <w:tblPr>
        <w:tblW w:w="5000" w:type="pct"/>
        <w:shd w:val="clear" w:color="auto" w:fill="F4F4F4"/>
        <w:tblCellMar>
          <w:top w:w="15" w:type="dxa"/>
          <w:left w:w="80" w:type="dxa"/>
          <w:bottom w:w="15" w:type="dxa"/>
          <w:right w:w="80" w:type="dxa"/>
        </w:tblCellMar>
        <w:tblLook w:val="04A0"/>
      </w:tblPr>
      <w:tblGrid>
        <w:gridCol w:w="9520"/>
      </w:tblGrid>
      <w:tr w:rsidR="008018B9">
        <w:trPr>
          <w:divId w:val="19123466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018B9" w:rsidRDefault="00FF60A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подготовлен аналитической редакцией Правовой платформы «Бизнес-Инфо»</w:t>
            </w:r>
          </w:p>
        </w:tc>
      </w:tr>
      <w:tr w:rsidR="008018B9">
        <w:trPr>
          <w:divId w:val="19123466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018B9" w:rsidRDefault="00FF60AA">
            <w:pPr>
              <w:pStyle w:val="a3"/>
              <w:jc w:val="right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06.05.2026</w:t>
            </w:r>
          </w:p>
        </w:tc>
      </w:tr>
    </w:tbl>
    <w:p w:rsidR="008018B9" w:rsidRDefault="008018B9">
      <w:pPr>
        <w:divId w:val="1912346634"/>
        <w:rPr>
          <w:rFonts w:ascii="Arial" w:eastAsia="Times New Roman" w:hAnsi="Arial" w:cs="Arial"/>
          <w:color w:val="000000"/>
          <w:sz w:val="23"/>
          <w:szCs w:val="23"/>
        </w:rPr>
      </w:pP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26 апреля 2026 г. вступило в силу постановление Минтруда и соцзащиты и </w:t>
      </w:r>
      <w:proofErr w:type="spellStart"/>
      <w:r>
        <w:rPr>
          <w:color w:val="000000"/>
        </w:rPr>
        <w:t>Минстройархитектуры</w:t>
      </w:r>
      <w:proofErr w:type="spellEnd"/>
      <w:r>
        <w:rPr>
          <w:color w:val="000000"/>
        </w:rPr>
        <w:t xml:space="preserve"> от 07.04.2026 № 18/26, которым внесены изменения в Правила по охране труда при выполнении строительных работ, утв. постановлением от 31.05.2019 № 24/33.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Правила № 24/33 устанавливают требования по охране труда при выполнении строительно-монтажных работ и связанных с ними иных работ, выполняемых на объектах строительства.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В пособии приведены основные новшества, внесенные в Правила № 24/33.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p w:rsidR="008018B9" w:rsidRDefault="00FF60AA">
      <w:pPr>
        <w:divId w:val="143019558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867275" cy="5734050"/>
            <wp:effectExtent l="0" t="0" r="9525" b="0"/>
            <wp:docPr id="3" name="Рисунок 3" descr="Основные новшества Правил № 24/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ые новшества Правил № 24/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2" w:name="a1"/>
      <w:bookmarkEnd w:id="2"/>
      <w:r>
        <w:rPr>
          <w:rFonts w:eastAsia="Times New Roman"/>
          <w:color w:val="000000"/>
        </w:rPr>
        <w:t>1. Критерий «работы на высоте»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В Правилах № 24/33 </w:t>
      </w:r>
      <w:r>
        <w:rPr>
          <w:b/>
          <w:bCs/>
          <w:color w:val="000000"/>
        </w:rPr>
        <w:t>изменен критерий работы на высоте - высота 1,8 м</w:t>
      </w:r>
      <w:r>
        <w:rPr>
          <w:color w:val="000000"/>
        </w:rPr>
        <w:t xml:space="preserve"> (ранее - 1,3 м). Этот критерий соответствует критерию работ на высоте, установленному Правилами по охране труда при выполнении работ на высоте, утв. постановлением Минтруда и соцзащиты от 06.02.2025 № 11.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Так, при выполнении строительных работ на работающих возможно воздействие следующих вредных и (или) опасных производственных факторов: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lastRenderedPageBreak/>
        <w:t>• движущиеся транспортные средства и другие машины и механизмы, подвижные части технологического оборудования, передвигающиеся заготовки и строительные материалы;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падающие предметы и материалы, самопроизвольно разрушающиеся конструкции зданий и сооружений, оборудования, обрушающиеся горные породы и грунты;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расположение рабочих мест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перепадов </w:t>
      </w:r>
      <w:r>
        <w:rPr>
          <w:b/>
          <w:bCs/>
          <w:color w:val="000000"/>
        </w:rPr>
        <w:t>по высоте 1,8 м и более либо</w:t>
      </w:r>
      <w:r>
        <w:rPr>
          <w:color w:val="000000"/>
        </w:rPr>
        <w:t xml:space="preserve"> при высоте защитного ограждения такого рабочего места менее 1,0 м, а также при выполнении строительных работ на высоте более 1,8 м при нахождении непосредственно на элементах конструкции или оборудования;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повышенная загазованность и запыленность воздуха рабочей зоны;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повышенная или пониженная температура воздуха рабочей зоны;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повышенные уровни шума и вибрации на рабочих местах;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повышенная влажность </w:t>
      </w:r>
      <w:r>
        <w:rPr>
          <w:b/>
          <w:bCs/>
          <w:color w:val="000000"/>
        </w:rPr>
        <w:t>и подвижность</w:t>
      </w:r>
      <w:r>
        <w:rPr>
          <w:color w:val="000000"/>
        </w:rPr>
        <w:t xml:space="preserve"> воздуха;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повышенные уровни статического электричества;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повышенное значение напряжения в электрической цепи, замыкание которой может произойти через тело человека;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токсичные и раздражающие химические вещества, проникающие в организм человека через органы дыхания, желудочно-кишечный тракт, кожные покровы и слизистые оболочки;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физические перегрузки;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нервно-психические перегрузки;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• иные вредные и (или) опасные производственные факторы (п.8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К зонам постоянно действующих опасных производственных факторов относятся: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1) места, находящиеся вблизи неизолированных токоведущих частей электроустановок;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2) места, находящиеся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перепадов </w:t>
      </w:r>
      <w:r>
        <w:rPr>
          <w:b/>
          <w:bCs/>
          <w:color w:val="000000"/>
        </w:rPr>
        <w:t>по высоте 1,8 м и более</w:t>
      </w:r>
      <w:r>
        <w:rPr>
          <w:color w:val="000000"/>
        </w:rPr>
        <w:t>, или высота защитного ограждения рабочих мест менее 1,0 м.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95"/>
        <w:gridCol w:w="8925"/>
      </w:tblGrid>
      <w:tr w:rsidR="008018B9">
        <w:trPr>
          <w:divId w:val="188968175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8018B9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8018B9" w:rsidRDefault="00FF60AA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Справочно</w:t>
            </w:r>
          </w:p>
          <w:p w:rsidR="008018B9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 xml:space="preserve">Ранее к зонам </w:t>
            </w:r>
            <w:r>
              <w:rPr>
                <w:b/>
                <w:bCs/>
                <w:color w:val="000000"/>
              </w:rPr>
              <w:t>постоянно</w:t>
            </w:r>
            <w:r>
              <w:rPr>
                <w:color w:val="000000"/>
              </w:rPr>
              <w:t xml:space="preserve"> действующих опасных производственных факторов </w:t>
            </w:r>
            <w:r>
              <w:rPr>
                <w:color w:val="000000"/>
              </w:rPr>
              <w:lastRenderedPageBreak/>
              <w:t>относились «</w:t>
            </w:r>
            <w:proofErr w:type="spellStart"/>
            <w:r>
              <w:rPr>
                <w:b/>
                <w:bCs/>
                <w:color w:val="000000"/>
              </w:rPr>
              <w:t>неогражденные</w:t>
            </w:r>
            <w:proofErr w:type="spellEnd"/>
            <w:r>
              <w:rPr>
                <w:b/>
                <w:bCs/>
                <w:color w:val="000000"/>
              </w:rPr>
              <w:t xml:space="preserve"> перепады по высоте 1,3 м и более</w:t>
            </w:r>
            <w:r>
              <w:rPr>
                <w:color w:val="000000"/>
              </w:rPr>
              <w:t>»;</w:t>
            </w:r>
          </w:p>
        </w:tc>
      </w:tr>
    </w:tbl>
    <w:p w:rsidR="008018B9" w:rsidRDefault="00FF60AA">
      <w:pPr>
        <w:pStyle w:val="margt"/>
        <w:rPr>
          <w:color w:val="000000"/>
        </w:rPr>
      </w:pPr>
      <w:r>
        <w:rPr>
          <w:color w:val="000000"/>
        </w:rPr>
        <w:lastRenderedPageBreak/>
        <w:t> 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>3) места, где возможно превышение предельно допустимых уровней вредных производственных факторов (шум, вибрация, электромагнитное, ультрафиолетовое, лазерное, радиоактивное излучение) (п.14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95"/>
        <w:gridCol w:w="8925"/>
      </w:tblGrid>
      <w:tr w:rsidR="008018B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8018B9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8018B9" w:rsidRDefault="00FF60AA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Обратите внимание!</w:t>
            </w:r>
          </w:p>
          <w:p w:rsidR="008018B9" w:rsidRDefault="00FF60AA">
            <w:pPr>
              <w:pStyle w:val="a0-justify"/>
              <w:rPr>
                <w:color w:val="000000"/>
              </w:rPr>
            </w:pPr>
            <w:r>
              <w:rPr>
                <w:color w:val="000000"/>
              </w:rPr>
              <w:t>На границах зон постоянно действующих опасных производственных факторов должны быть установлены защитные ограждения.</w:t>
            </w:r>
          </w:p>
        </w:tc>
      </w:tr>
    </w:tbl>
    <w:p w:rsidR="008018B9" w:rsidRDefault="00FF60AA">
      <w:pPr>
        <w:pStyle w:val="2"/>
        <w:rPr>
          <w:rFonts w:eastAsia="Times New Roman"/>
          <w:color w:val="000000"/>
        </w:rPr>
      </w:pPr>
      <w:bookmarkStart w:id="3" w:name="a2"/>
      <w:bookmarkEnd w:id="3"/>
      <w:r>
        <w:rPr>
          <w:rFonts w:eastAsia="Times New Roman"/>
          <w:color w:val="000000"/>
        </w:rPr>
        <w:t>2. Допуск к строительно-монтажным работам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К строительно-монтажным работам допускаются лица, прошедшие в случаях и порядке, установленном законодательством, медицинский осмотр, обучение, стажировку, инструктаж и проверку знаний по вопросам охраны труда.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В случаях, установленных законодательством, для выполнения отдельных строительно-монтажных работ работающий должен иметь соответствующую характеристике работ квалификацию по профессии рабочего, либо обучен этим отдельным видам строительно-монтажных работ (п.24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4" w:name="a3"/>
      <w:bookmarkEnd w:id="4"/>
      <w:r>
        <w:rPr>
          <w:rFonts w:eastAsia="Times New Roman"/>
          <w:color w:val="000000"/>
        </w:rPr>
        <w:t xml:space="preserve">3. Требования к лесам, подмостям и другим средствам </w:t>
      </w:r>
      <w:proofErr w:type="spellStart"/>
      <w:r>
        <w:rPr>
          <w:rFonts w:eastAsia="Times New Roman"/>
          <w:color w:val="000000"/>
        </w:rPr>
        <w:t>подмащивания</w:t>
      </w:r>
      <w:proofErr w:type="spellEnd"/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Применяемые инвентарные леса и подмости должны быть укомплектованы эксплуатационными документами.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Допускается применение неинвентарных лесов и подмостей. Их изготовление должно осуществляться по конструкторской документации с расчетами всех основных элементов на прочность, а лесов и подмостей в целом - на устойчивость с учетом требований межгосударственных стандартов, в соответствии с которыми они изготовлены.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Эксплуатация лесов и подмостей должна осуществляться в соответствии с требованиями, установленными Правилами № 24/33, иными техническими нормативными правовыми актами, межгосударственными стандартами, в </w:t>
      </w:r>
      <w:r>
        <w:rPr>
          <w:color w:val="000000"/>
        </w:rPr>
        <w:lastRenderedPageBreak/>
        <w:t>соответствии с которыми они изготовлены, а также эксплуатационными документами (конструкторской документацией).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Порядок крепления неинвентарных лесов определяется конструкторской документацией или ППР, с учетом конкретных условий их применения (пп.132, 133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Ширина настилов на неинвентарных лесах и подмостях должна быть (если иное не предусмотрено межгосударственными стандартами, в соответствии с которыми они изготовлены):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каменных работ - не менее </w:t>
      </w:r>
      <w:r>
        <w:rPr>
          <w:b/>
          <w:bCs/>
          <w:color w:val="000000"/>
        </w:rPr>
        <w:t>2 м</w:t>
      </w:r>
      <w:r>
        <w:rPr>
          <w:color w:val="000000"/>
        </w:rPr>
        <w:t>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штукатурных работ - не менее </w:t>
      </w:r>
      <w:r>
        <w:rPr>
          <w:b/>
          <w:bCs/>
          <w:color w:val="000000"/>
        </w:rPr>
        <w:t>1,5 м</w:t>
      </w:r>
      <w:r>
        <w:rPr>
          <w:color w:val="000000"/>
        </w:rPr>
        <w:t>;</w:t>
      </w:r>
    </w:p>
    <w:p w:rsidR="008018B9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малярных и монтажных работ - не менее </w:t>
      </w:r>
      <w:r>
        <w:rPr>
          <w:b/>
          <w:bCs/>
          <w:color w:val="000000"/>
        </w:rPr>
        <w:t>1 м</w:t>
      </w:r>
      <w:r>
        <w:rPr>
          <w:color w:val="000000"/>
        </w:rPr>
        <w:t>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Применяемые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должны быть исправны.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Перед эксплуатацией и периодически, но не реже одного раза в 10 календарных дней в процессе применения,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осматриваются линейным руководителем работ. Результаты их осмотра регистрируются в журнале приемки и осмотра лесов и подмостей.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Перед непосредственным применением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осматриваются на предмет отсутствия дефектов линейным руководителем работ. Осмотр средств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перед непосредственным их применением допускается осуществлять без регистрации в журнале приемки и осмотра лесов и подмостей.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>, с которых работа не производилась в течение месяца и более, перед возобновлением работ следует принимать в порядке, предусмотренном п.139 Правил № 24/33.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подлежат дополнительному осмотру после дождя, ветра, оттепели, землетрясения, которые могут повлиять на несущую способность основания под ними, а также на деформацию несущих их элементов. При обнаружении нарушений, касающихся несущей способности основания или деформации средств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, эти нарушения должны быть устранены и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приняты повторно в порядке, установленном п.139 Правил № 24/33 (пп.137, 142 Правил № 33/24).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5" w:name="a4"/>
      <w:bookmarkEnd w:id="5"/>
      <w:r>
        <w:rPr>
          <w:rFonts w:eastAsia="Times New Roman"/>
          <w:color w:val="000000"/>
        </w:rPr>
        <w:t>4. Работа с приставных лестниц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работе с приставной лестницы на высоте более 1,8 м следует применять средства индивидуальной защиты от падения с высоты (системы обеспечения безопасности работ на высоте), прикрепленные к конструкции сооружения или к </w:t>
      </w:r>
      <w:r>
        <w:rPr>
          <w:color w:val="000000"/>
        </w:rPr>
        <w:lastRenderedPageBreak/>
        <w:t>лестнице при условии ее закрепления на строительной конструкции (п.150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6" w:name="a5"/>
      <w:bookmarkEnd w:id="6"/>
      <w:r>
        <w:rPr>
          <w:rFonts w:eastAsia="Times New Roman"/>
          <w:color w:val="000000"/>
        </w:rPr>
        <w:t>5. Контроль за работами с повышенной опасностью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Контроль за выполнением мероприятий, предусмотренных в наряде-допуске, может осуществляться посредством применения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и осуществления периодической проверки соответствия фактического состояния условий производства работ требованиям безопасности, предусмотренным нарядом-допуском.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этом линейный руководитель обязан находиться на объекте, а при возникновении опасности - немедленно принять меры, вплоть до остановки работ и эвакуации людей (п.18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7" w:name="a6"/>
      <w:bookmarkEnd w:id="7"/>
      <w:r>
        <w:rPr>
          <w:rFonts w:eastAsia="Times New Roman"/>
          <w:color w:val="000000"/>
        </w:rPr>
        <w:t>6. Использование электрического инструмента, сварочные работы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Для выполнения работ с использованием электрического и пневматического инструмента, строительно-монтажных пистолетов, газосварочных, газопламенных и электросварочных работ, работ по натяжению проводов, поддержанию на весу тяжелых деталей, а также в опасной зоне около и над вращающимися (движущимися) механизмами, работающими машинами, транспортерами следует применять леса, подмости и лестницы с площадками, огражденными перилами (п.152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8" w:name="a7"/>
      <w:bookmarkEnd w:id="8"/>
      <w:r>
        <w:rPr>
          <w:rFonts w:eastAsia="Times New Roman"/>
          <w:color w:val="000000"/>
        </w:rPr>
        <w:t>7. Средства индивидуальной защиты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Установлено, что каски нужно носить зафиксированными на голове в соответствии с эксплуатационной документацией, а не только как ранее «застегнутыми на подбородочные ремни») (п.25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работе с ручным электроинструментом необходимо применять СИЗ согласно документации на инструмент (ч.4 п.157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Установку и снятие средств коллективной защиты следует выполнять с применением систем обеспечения безопасности работ на высоте с их креплением к анкерным устройствам или надежно установленным конструкциям здания в технологической последовательности, обеспечивающей безопасность </w:t>
      </w:r>
      <w:r>
        <w:rPr>
          <w:color w:val="000000"/>
        </w:rPr>
        <w:lastRenderedPageBreak/>
        <w:t>работающих. Выбор системы обеспечения безопасности работ на высоте должен осуществляться на основании оценки профессиональных рисков (п.153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9" w:name="a8"/>
      <w:bookmarkEnd w:id="9"/>
      <w:r>
        <w:rPr>
          <w:rFonts w:eastAsia="Times New Roman"/>
          <w:color w:val="000000"/>
        </w:rPr>
        <w:t>8. Работы с ручными электрическими машинами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производстве работ вне помещений, а также в условиях повышенной опасности поражения работающего электрическим током в помещениях необходимо применять ручные электрические машины II и III классов.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наличии особо опасных условий поражения работающего электрическим током (работа в котлах, баках) следует пользоваться только ручными электрическими машинами III класса.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Во всех случаях применения ручных электрических машин II класса их подключение должно производиться только через преобразователь частоты с раздельными обмотками или разделительный трансформатор.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работе с ручными электрическими машинами необходимо применять СИЗ в соответствии с эксплуатационными документами, техническими нормативными правовыми актами (п.157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10" w:name="a9"/>
      <w:bookmarkEnd w:id="10"/>
      <w:r>
        <w:rPr>
          <w:rFonts w:eastAsia="Times New Roman"/>
          <w:color w:val="000000"/>
        </w:rPr>
        <w:t>9. Работы на крышах и при кладке стен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выполнении работ на крышах с уклоном более 20°, а также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либо имеющих ограждение менее 1 м перепадов по высоте 1,8 м и более независимо от уклона крыши, работающие должны применять системы обеспечения безопасности работ на высоте для предотвращения попадания работающего в опасные зоны, в которых существуют профессиональные риски, связанные с его возможным падением с высоты 1,8 м и более (удерживающую систему, систему позиционирования) (п.446 Правил № 24/33).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При кладке стен на высоту до 0,7 м от настила, если расстояние снаружи до земли более 1,8 м, нужны ограждающие (улавливающие) устройства или средства индивидуальной защиты от падения с высоты (системы обеспечения безопасности работ на высоте) (п.377 Правил № 24/33).</w:t>
      </w:r>
    </w:p>
    <w:p w:rsidR="008018B9" w:rsidRDefault="00FF60AA">
      <w:pPr>
        <w:pStyle w:val="2"/>
        <w:rPr>
          <w:rFonts w:eastAsia="Times New Roman"/>
          <w:color w:val="000000"/>
        </w:rPr>
      </w:pPr>
      <w:bookmarkStart w:id="11" w:name="a10"/>
      <w:bookmarkEnd w:id="11"/>
      <w:r>
        <w:rPr>
          <w:rFonts w:eastAsia="Times New Roman"/>
          <w:color w:val="000000"/>
        </w:rPr>
        <w:t xml:space="preserve">10. Перечень строительных работ, на выполнение которых необходимо выдавать наряд-допуск </w:t>
      </w:r>
      <w:r>
        <w:rPr>
          <w:rFonts w:eastAsia="Times New Roman"/>
          <w:b w:val="0"/>
          <w:bCs w:val="0"/>
          <w:color w:val="000000"/>
        </w:rPr>
        <w:t>(приложение 4 к Правилам № 24/33)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lastRenderedPageBreak/>
        <w:t>В перечне слова «выполнение работ на высоте с применением предохранительного пояса» заменены на «выполнение работ в безопорном пространстве».</w:t>
      </w:r>
    </w:p>
    <w:p w:rsidR="008018B9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95"/>
        <w:gridCol w:w="8925"/>
      </w:tblGrid>
      <w:tr w:rsidR="008018B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8018B9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8018B9" w:rsidRDefault="00FF60AA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Справочно</w:t>
            </w:r>
          </w:p>
          <w:p w:rsidR="008018B9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>Работы в безопорном пространстве - это работы на высоте с применением систем канатного доступа.</w:t>
            </w:r>
          </w:p>
          <w:p w:rsidR="008018B9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>Система канатного доступа - система обеспечения безопасности работ на высоте, предназначенная для работы в безопорном пространстве, позволяющая работающему занять или покинуть рабочее место с применением рабочего и страховочного канатов, присоединенных отдельно друг от друга к анкерным точкам таким образом, чтобы предотвращалось или останавливалось свободное падение работающего (абз.8 и 11 п.4 Правил № 11).</w:t>
            </w:r>
          </w:p>
        </w:tc>
      </w:tr>
    </w:tbl>
    <w:p w:rsidR="00FF60AA" w:rsidRDefault="00FF60AA">
      <w:pPr>
        <w:rPr>
          <w:rFonts w:eastAsia="Times New Roman"/>
        </w:rPr>
      </w:pPr>
    </w:p>
    <w:sectPr w:rsidR="00FF60AA" w:rsidSect="008018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F75"/>
    <w:rsid w:val="006008CE"/>
    <w:rsid w:val="008018B9"/>
    <w:rsid w:val="00AC267D"/>
    <w:rsid w:val="00D75242"/>
    <w:rsid w:val="00F64F75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B9"/>
  </w:style>
  <w:style w:type="paragraph" w:styleId="1">
    <w:name w:val="heading 1"/>
    <w:basedOn w:val="a"/>
    <w:link w:val="10"/>
    <w:uiPriority w:val="9"/>
    <w:qFormat/>
    <w:rsid w:val="008018B9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8018B9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8B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018B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018B9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rsid w:val="008018B9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8018B9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8018B9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8018B9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rsid w:val="008018B9"/>
    <w:pPr>
      <w:spacing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rsid w:val="008018B9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rsid w:val="008018B9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6603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751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UserPc</cp:lastModifiedBy>
  <cp:revision>2</cp:revision>
  <cp:lastPrinted>2026-05-07T12:12:00Z</cp:lastPrinted>
  <dcterms:created xsi:type="dcterms:W3CDTF">2026-06-09T08:22:00Z</dcterms:created>
  <dcterms:modified xsi:type="dcterms:W3CDTF">2026-06-09T08:22:00Z</dcterms:modified>
</cp:coreProperties>
</file>