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72" w:rsidRPr="00E309BA" w:rsidRDefault="00517872" w:rsidP="00517872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cstheme="minorHAnsi"/>
          <w:b/>
          <w:color w:val="000000"/>
          <w:sz w:val="40"/>
          <w:szCs w:val="40"/>
          <w:u w:val="single"/>
        </w:rPr>
      </w:pPr>
      <w:r w:rsidRPr="00E309BA">
        <w:rPr>
          <w:rFonts w:cstheme="minorHAnsi"/>
          <w:b/>
          <w:color w:val="000000"/>
          <w:sz w:val="40"/>
          <w:szCs w:val="40"/>
          <w:u w:val="single"/>
        </w:rPr>
        <w:t>О РЕКЛАМЕ</w:t>
      </w:r>
      <w:bookmarkStart w:id="0" w:name="_GoBack"/>
      <w:bookmarkEnd w:id="0"/>
    </w:p>
    <w:p w:rsidR="00E91794" w:rsidRPr="00E309BA" w:rsidRDefault="00F865FD" w:rsidP="00F86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30"/>
          <w:szCs w:val="30"/>
        </w:rPr>
      </w:pPr>
      <w:r w:rsidRPr="00E309BA">
        <w:rPr>
          <w:rFonts w:cstheme="minorHAnsi"/>
          <w:color w:val="000000"/>
          <w:sz w:val="30"/>
          <w:szCs w:val="30"/>
        </w:rPr>
        <w:t xml:space="preserve">В соответствии со статьей 22 Закона Республики Беларусь от 29.12.2012 № 8-З «Аб </w:t>
      </w:r>
      <w:proofErr w:type="spellStart"/>
      <w:r w:rsidRPr="00E309BA">
        <w:rPr>
          <w:rFonts w:cstheme="minorHAnsi"/>
          <w:color w:val="000000"/>
          <w:sz w:val="30"/>
          <w:szCs w:val="30"/>
        </w:rPr>
        <w:t>выдавецкай</w:t>
      </w:r>
      <w:proofErr w:type="spellEnd"/>
      <w:r w:rsidRPr="00E309BA">
        <w:rPr>
          <w:rFonts w:cstheme="minorHAnsi"/>
          <w:color w:val="000000"/>
          <w:sz w:val="30"/>
          <w:szCs w:val="30"/>
        </w:rPr>
        <w:t xml:space="preserve"> справе» (далее – Закон) юридические лица, представительства зарубежных организаций, индивидуальные предприниматели, которые планируют осуществлять деятельность по распространению печатных изданий, подлежат государственной регистрации в качестве распространителя печатных изданий в порядке, установленном Законом.</w:t>
      </w:r>
    </w:p>
    <w:p w:rsidR="00F865FD" w:rsidRPr="00E309BA" w:rsidRDefault="00F865FD" w:rsidP="009C1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30"/>
          <w:szCs w:val="30"/>
        </w:rPr>
      </w:pPr>
      <w:r w:rsidRPr="00E309BA">
        <w:rPr>
          <w:rFonts w:cstheme="minorHAnsi"/>
          <w:color w:val="000000"/>
          <w:sz w:val="30"/>
          <w:szCs w:val="30"/>
        </w:rPr>
        <w:t xml:space="preserve">Вместе с тем, в соответствии с пунктом 2 статьи 22 Закона </w:t>
      </w:r>
      <w:r w:rsidRPr="00E309BA">
        <w:rPr>
          <w:rFonts w:cstheme="minorHAnsi"/>
          <w:b/>
          <w:bCs/>
          <w:color w:val="000000"/>
          <w:sz w:val="30"/>
          <w:szCs w:val="30"/>
        </w:rPr>
        <w:t xml:space="preserve">не подлежат </w:t>
      </w:r>
      <w:r w:rsidRPr="00E309BA">
        <w:rPr>
          <w:rFonts w:cstheme="minorHAnsi"/>
          <w:color w:val="000000"/>
          <w:sz w:val="30"/>
          <w:szCs w:val="30"/>
        </w:rPr>
        <w:t>государственной регистрации в качестве распространителя печатных изданий субъекты хозяйствования, осуществляющие деятельность по распространению ведомственных изданий, а также печатных изданий в культурных, образовательных, научных, духовно</w:t>
      </w:r>
      <w:r w:rsidR="00517872" w:rsidRPr="00E309BA">
        <w:rPr>
          <w:rFonts w:cstheme="minorHAnsi"/>
          <w:color w:val="000000"/>
          <w:sz w:val="30"/>
          <w:szCs w:val="30"/>
        </w:rPr>
        <w:t>-</w:t>
      </w:r>
      <w:r w:rsidRPr="00E309BA">
        <w:rPr>
          <w:rFonts w:cstheme="minorHAnsi"/>
          <w:color w:val="000000"/>
          <w:sz w:val="30"/>
          <w:szCs w:val="30"/>
        </w:rPr>
        <w:t xml:space="preserve">просветительских, благотворительных или рекламных целях на </w:t>
      </w:r>
      <w:r w:rsidRPr="00E309BA">
        <w:rPr>
          <w:rFonts w:cstheme="minorHAnsi"/>
          <w:b/>
          <w:bCs/>
          <w:color w:val="000000"/>
          <w:sz w:val="30"/>
          <w:szCs w:val="30"/>
        </w:rPr>
        <w:t>бесплатной основе</w:t>
      </w:r>
      <w:r w:rsidRPr="00E309BA">
        <w:rPr>
          <w:rFonts w:cstheme="minorHAnsi"/>
          <w:color w:val="000000"/>
          <w:sz w:val="30"/>
          <w:szCs w:val="30"/>
        </w:rPr>
        <w:t xml:space="preserve">. </w:t>
      </w:r>
      <w:r w:rsidRPr="00E309BA">
        <w:rPr>
          <w:rFonts w:cstheme="minorHAnsi"/>
          <w:b/>
          <w:bCs/>
          <w:color w:val="000000"/>
          <w:sz w:val="30"/>
          <w:szCs w:val="30"/>
        </w:rPr>
        <w:t xml:space="preserve">В иных случаях </w:t>
      </w:r>
      <w:r w:rsidRPr="00E309BA">
        <w:rPr>
          <w:rFonts w:cstheme="minorHAnsi"/>
          <w:color w:val="000000"/>
          <w:sz w:val="30"/>
          <w:szCs w:val="30"/>
        </w:rPr>
        <w:t xml:space="preserve">субъекты хозяйствования, осуществляющие деятельность по распространению печатных изданий, </w:t>
      </w:r>
    </w:p>
    <w:p w:rsidR="00F865FD" w:rsidRPr="00E309BA" w:rsidRDefault="00F865FD" w:rsidP="00F865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0"/>
          <w:szCs w:val="30"/>
        </w:rPr>
      </w:pPr>
      <w:r w:rsidRPr="00E309BA">
        <w:rPr>
          <w:rFonts w:cstheme="minorHAnsi"/>
          <w:color w:val="000000"/>
          <w:sz w:val="30"/>
          <w:szCs w:val="30"/>
        </w:rPr>
        <w:t xml:space="preserve">должны быть </w:t>
      </w:r>
      <w:r w:rsidRPr="00E309BA">
        <w:rPr>
          <w:rFonts w:cstheme="minorHAnsi"/>
          <w:b/>
          <w:bCs/>
          <w:color w:val="000000"/>
          <w:sz w:val="30"/>
          <w:szCs w:val="30"/>
        </w:rPr>
        <w:t xml:space="preserve">включены </w:t>
      </w:r>
      <w:r w:rsidRPr="00E309BA">
        <w:rPr>
          <w:rFonts w:cstheme="minorHAnsi"/>
          <w:color w:val="000000"/>
          <w:sz w:val="30"/>
          <w:szCs w:val="30"/>
        </w:rPr>
        <w:t xml:space="preserve">в </w:t>
      </w:r>
      <w:r w:rsidRPr="00E309BA">
        <w:rPr>
          <w:rFonts w:cstheme="minorHAnsi"/>
          <w:b/>
          <w:bCs/>
          <w:color w:val="000000"/>
          <w:sz w:val="30"/>
          <w:szCs w:val="30"/>
        </w:rPr>
        <w:t>Государственный реестр</w:t>
      </w:r>
      <w:r w:rsidRPr="00E309BA">
        <w:rPr>
          <w:rFonts w:cstheme="minorHAnsi"/>
          <w:color w:val="000000"/>
          <w:sz w:val="30"/>
          <w:szCs w:val="30"/>
        </w:rPr>
        <w:t>.</w:t>
      </w:r>
    </w:p>
    <w:p w:rsidR="00F865FD" w:rsidRPr="00E309BA" w:rsidRDefault="00F865FD" w:rsidP="00F86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i/>
          <w:iCs/>
          <w:color w:val="000000"/>
          <w:sz w:val="30"/>
          <w:szCs w:val="30"/>
        </w:rPr>
      </w:pPr>
      <w:proofErr w:type="spellStart"/>
      <w:r w:rsidRPr="00E309BA">
        <w:rPr>
          <w:rFonts w:cstheme="minorHAnsi"/>
          <w:i/>
          <w:iCs/>
          <w:color w:val="000000"/>
          <w:sz w:val="30"/>
          <w:szCs w:val="30"/>
        </w:rPr>
        <w:t>Справочно</w:t>
      </w:r>
      <w:proofErr w:type="spellEnd"/>
      <w:r w:rsidRPr="00E309BA">
        <w:rPr>
          <w:rFonts w:cstheme="minorHAnsi"/>
          <w:i/>
          <w:iCs/>
          <w:color w:val="000000"/>
          <w:sz w:val="30"/>
          <w:szCs w:val="30"/>
        </w:rPr>
        <w:t>. Государственную регистрацию издателей, изготовителей и распространителей печатных изданий, а также ведение Государственного реестра, осуществляет Министерство информации.</w:t>
      </w:r>
    </w:p>
    <w:p w:rsidR="00F865FD" w:rsidRPr="00E309BA" w:rsidRDefault="00F865FD" w:rsidP="00E81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iCs/>
          <w:color w:val="000000"/>
          <w:sz w:val="30"/>
          <w:szCs w:val="30"/>
        </w:rPr>
      </w:pPr>
      <w:r w:rsidRPr="00E309BA">
        <w:rPr>
          <w:rFonts w:cstheme="minorHAnsi"/>
          <w:color w:val="000000"/>
          <w:sz w:val="30"/>
          <w:szCs w:val="30"/>
        </w:rPr>
        <w:t xml:space="preserve">В соответствии со статьей 31 Закона распространение печатных изданий распространителями печатных изданий без государственной регистрации </w:t>
      </w:r>
      <w:r w:rsidRPr="00E309BA">
        <w:rPr>
          <w:rFonts w:cstheme="minorHAnsi"/>
          <w:b/>
          <w:bCs/>
          <w:color w:val="000000"/>
          <w:sz w:val="30"/>
          <w:szCs w:val="30"/>
        </w:rPr>
        <w:t>запрещается</w:t>
      </w:r>
      <w:r w:rsidRPr="00E309BA">
        <w:rPr>
          <w:rFonts w:cstheme="minorHAnsi"/>
          <w:color w:val="000000"/>
          <w:sz w:val="30"/>
          <w:szCs w:val="30"/>
        </w:rPr>
        <w:t>. Ответственность предусмотрена частью 3</w:t>
      </w:r>
      <w:r w:rsidR="00517872" w:rsidRPr="00E309BA">
        <w:rPr>
          <w:rFonts w:cstheme="minorHAnsi"/>
          <w:color w:val="000000"/>
          <w:sz w:val="30"/>
          <w:szCs w:val="30"/>
        </w:rPr>
        <w:t xml:space="preserve"> </w:t>
      </w:r>
      <w:r w:rsidRPr="00E309BA">
        <w:rPr>
          <w:rFonts w:cstheme="minorHAnsi"/>
          <w:color w:val="000000"/>
          <w:sz w:val="30"/>
          <w:szCs w:val="30"/>
        </w:rPr>
        <w:t>статьи 13.3 Кодекса Республики Беларусь об административных</w:t>
      </w:r>
      <w:r w:rsidR="00517872" w:rsidRPr="00E309BA">
        <w:rPr>
          <w:rFonts w:cstheme="minorHAnsi"/>
          <w:color w:val="000000"/>
          <w:sz w:val="30"/>
          <w:szCs w:val="30"/>
        </w:rPr>
        <w:t xml:space="preserve"> </w:t>
      </w:r>
      <w:r w:rsidRPr="00E309BA">
        <w:rPr>
          <w:rFonts w:cstheme="minorHAnsi"/>
          <w:color w:val="000000"/>
          <w:sz w:val="30"/>
          <w:szCs w:val="30"/>
        </w:rPr>
        <w:t>правонарушениях.</w:t>
      </w:r>
    </w:p>
    <w:p w:rsidR="00F865FD" w:rsidRPr="00E91794" w:rsidRDefault="00F865FD" w:rsidP="00F865FD">
      <w:pPr>
        <w:autoSpaceDE w:val="0"/>
        <w:autoSpaceDN w:val="0"/>
        <w:adjustRightInd w:val="0"/>
        <w:spacing w:after="0" w:line="240" w:lineRule="auto"/>
        <w:jc w:val="both"/>
        <w:rPr>
          <w:rStyle w:val="CharStyle3"/>
          <w:color w:val="000000"/>
        </w:rPr>
      </w:pPr>
    </w:p>
    <w:p w:rsidR="006F4341" w:rsidRPr="00751D71" w:rsidRDefault="003642C2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9F2706">
        <w:rPr>
          <w:rStyle w:val="CharStyle3"/>
          <w:b/>
          <w:color w:val="000000"/>
          <w:sz w:val="30"/>
          <w:szCs w:val="30"/>
        </w:rPr>
        <w:t xml:space="preserve">                                         </w:t>
      </w:r>
      <w:r w:rsidR="009F2706">
        <w:rPr>
          <w:rStyle w:val="CharStyle3"/>
          <w:b/>
          <w:color w:val="000000"/>
          <w:sz w:val="30"/>
          <w:szCs w:val="30"/>
        </w:rPr>
        <w:t xml:space="preserve">                         </w:t>
      </w:r>
      <w:r w:rsidR="006F4341" w:rsidRPr="009F2706">
        <w:rPr>
          <w:rStyle w:val="CharStyle3"/>
          <w:b/>
          <w:color w:val="000000"/>
          <w:sz w:val="30"/>
          <w:szCs w:val="30"/>
        </w:rPr>
        <w:t>ИМНС по Железнодорожном</w:t>
      </w:r>
      <w:r w:rsidR="006F4341" w:rsidRPr="00751D71">
        <w:rPr>
          <w:rStyle w:val="CharStyle3"/>
          <w:b/>
          <w:color w:val="000000"/>
        </w:rPr>
        <w:t>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</w:t>
      </w:r>
      <w:r w:rsidR="009F2706">
        <w:rPr>
          <w:rStyle w:val="CharStyle3"/>
          <w:b/>
          <w:color w:val="000000"/>
        </w:rPr>
        <w:t xml:space="preserve">                            </w:t>
      </w:r>
      <w:r w:rsidRPr="00751D71">
        <w:rPr>
          <w:rStyle w:val="CharStyle3"/>
          <w:b/>
          <w:color w:val="000000"/>
        </w:rPr>
        <w:t xml:space="preserve">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777659" w:rsidRDefault="00777659"/>
    <w:sectPr w:rsidR="0077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2"/>
  </w:num>
  <w:num w:numId="15">
    <w:abstractNumId w:val="31"/>
  </w:num>
  <w:num w:numId="16">
    <w:abstractNumId w:val="18"/>
  </w:num>
  <w:num w:numId="17">
    <w:abstractNumId w:val="29"/>
  </w:num>
  <w:num w:numId="18">
    <w:abstractNumId w:val="20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26"/>
  </w:num>
  <w:num w:numId="24">
    <w:abstractNumId w:val="27"/>
  </w:num>
  <w:num w:numId="25">
    <w:abstractNumId w:val="19"/>
  </w:num>
  <w:num w:numId="26">
    <w:abstractNumId w:val="30"/>
  </w:num>
  <w:num w:numId="27">
    <w:abstractNumId w:val="22"/>
  </w:num>
  <w:num w:numId="28">
    <w:abstractNumId w:val="23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3B60"/>
    <w:rsid w:val="000D69FE"/>
    <w:rsid w:val="001003AF"/>
    <w:rsid w:val="00102BE4"/>
    <w:rsid w:val="00105783"/>
    <w:rsid w:val="00111007"/>
    <w:rsid w:val="00141EEA"/>
    <w:rsid w:val="0016452A"/>
    <w:rsid w:val="001863AB"/>
    <w:rsid w:val="001B3F11"/>
    <w:rsid w:val="001B5157"/>
    <w:rsid w:val="001B622E"/>
    <w:rsid w:val="00224169"/>
    <w:rsid w:val="00286611"/>
    <w:rsid w:val="00295988"/>
    <w:rsid w:val="002E2022"/>
    <w:rsid w:val="00313496"/>
    <w:rsid w:val="00333B40"/>
    <w:rsid w:val="00361434"/>
    <w:rsid w:val="00362A02"/>
    <w:rsid w:val="003642C2"/>
    <w:rsid w:val="00365BFB"/>
    <w:rsid w:val="00373BE3"/>
    <w:rsid w:val="0038593A"/>
    <w:rsid w:val="003B735C"/>
    <w:rsid w:val="003D14EA"/>
    <w:rsid w:val="00426DC7"/>
    <w:rsid w:val="00430561"/>
    <w:rsid w:val="004440EB"/>
    <w:rsid w:val="00467436"/>
    <w:rsid w:val="00474C54"/>
    <w:rsid w:val="00491952"/>
    <w:rsid w:val="00496179"/>
    <w:rsid w:val="004B4B92"/>
    <w:rsid w:val="004D18F7"/>
    <w:rsid w:val="00517872"/>
    <w:rsid w:val="00521A53"/>
    <w:rsid w:val="00537D56"/>
    <w:rsid w:val="00551FE2"/>
    <w:rsid w:val="0055208B"/>
    <w:rsid w:val="005869FE"/>
    <w:rsid w:val="0059152C"/>
    <w:rsid w:val="005F2843"/>
    <w:rsid w:val="006108C3"/>
    <w:rsid w:val="00612BAE"/>
    <w:rsid w:val="006922B8"/>
    <w:rsid w:val="006A1903"/>
    <w:rsid w:val="006C2CC9"/>
    <w:rsid w:val="006F4341"/>
    <w:rsid w:val="00731D15"/>
    <w:rsid w:val="0075401D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D1332"/>
    <w:rsid w:val="009340B4"/>
    <w:rsid w:val="009378E9"/>
    <w:rsid w:val="009712E2"/>
    <w:rsid w:val="00973EAB"/>
    <w:rsid w:val="009921C3"/>
    <w:rsid w:val="009925E3"/>
    <w:rsid w:val="009C1F4E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8737A"/>
    <w:rsid w:val="00BA437E"/>
    <w:rsid w:val="00BD51D4"/>
    <w:rsid w:val="00BF6668"/>
    <w:rsid w:val="00C045EC"/>
    <w:rsid w:val="00C05247"/>
    <w:rsid w:val="00C2490F"/>
    <w:rsid w:val="00C35603"/>
    <w:rsid w:val="00C47610"/>
    <w:rsid w:val="00C72313"/>
    <w:rsid w:val="00C80AC1"/>
    <w:rsid w:val="00C967CC"/>
    <w:rsid w:val="00CA1A06"/>
    <w:rsid w:val="00CB7515"/>
    <w:rsid w:val="00D24F12"/>
    <w:rsid w:val="00D60E51"/>
    <w:rsid w:val="00D926B6"/>
    <w:rsid w:val="00DB0465"/>
    <w:rsid w:val="00E05CBE"/>
    <w:rsid w:val="00E0749A"/>
    <w:rsid w:val="00E1141A"/>
    <w:rsid w:val="00E26241"/>
    <w:rsid w:val="00E309BA"/>
    <w:rsid w:val="00E43E02"/>
    <w:rsid w:val="00E530C8"/>
    <w:rsid w:val="00E81BFE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27AA7"/>
    <w:rsid w:val="00F30FF2"/>
    <w:rsid w:val="00F461B8"/>
    <w:rsid w:val="00F54D22"/>
    <w:rsid w:val="00F865FD"/>
    <w:rsid w:val="00FA7E8E"/>
    <w:rsid w:val="00FB0A40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71FC-37E2-4615-9041-34CDD6C7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5</cp:revision>
  <dcterms:created xsi:type="dcterms:W3CDTF">2025-02-13T12:46:00Z</dcterms:created>
  <dcterms:modified xsi:type="dcterms:W3CDTF">2025-02-19T08:52:00Z</dcterms:modified>
</cp:coreProperties>
</file>