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>дворцовый комплекс в г.п.Ружанах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>дворцово-парковый ансамбль в аг.Жиличи</w:t>
      </w:r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D74CBA" w:rsidRDefault="00D74CB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CBA" w:rsidRPr="00D74CBA" w:rsidRDefault="00D74CBA" w:rsidP="00D74CBA">
      <w:pPr>
        <w:spacing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4C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Справочно:</w:t>
      </w:r>
    </w:p>
    <w:p w:rsidR="00D74CBA" w:rsidRPr="00D74CBA" w:rsidRDefault="00D74CBA" w:rsidP="00D74CBA">
      <w:pPr>
        <w:spacing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4C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Городокском районе:</w:t>
      </w:r>
    </w:p>
    <w:p w:rsidR="00D74CBA" w:rsidRPr="00D74CBA" w:rsidRDefault="00D74CBA" w:rsidP="00D74CBA">
      <w:pPr>
        <w:spacing w:after="120" w:line="235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74CBA" w:rsidRPr="00D74CBA" w:rsidRDefault="00D74CBA" w:rsidP="00D74CBA">
      <w:pPr>
        <w:ind w:firstLine="708"/>
        <w:jc w:val="both"/>
        <w:rPr>
          <w:rFonts w:ascii="Times New Roman" w:hAnsi="Times New Roman"/>
          <w:i/>
          <w:sz w:val="30"/>
          <w:szCs w:val="30"/>
          <w:shd w:val="clear" w:color="auto" w:fill="FFFFFF"/>
        </w:rPr>
      </w:pPr>
      <w:r w:rsidRPr="00D74CBA">
        <w:rPr>
          <w:rFonts w:ascii="Times New Roman" w:hAnsi="Times New Roman"/>
          <w:i/>
          <w:sz w:val="30"/>
          <w:szCs w:val="30"/>
        </w:rPr>
        <w:t>Сплавы на байдарках - самый многочисленный сектор в экологическом туризме нашего региона, они востребованы не только у жителей района, но и популярны у туристов из других регионов Беларуси и России. Экологическая тропа «Тайны болот» протяженностью 6 км проходит вдоль болота в районе озера Чистик. На экотропе можно увидеть реликтовые виды растений, занесенные в Красную книгу Беларуси – морошку, клюкву мелкоплодную.</w:t>
      </w:r>
    </w:p>
    <w:p w:rsidR="00D74CBA" w:rsidRPr="00D74CBA" w:rsidRDefault="00D74CBA" w:rsidP="00D74CB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eastAsia="Times New Roman" w:hAnsi="Times New Roman"/>
          <w:i/>
          <w:sz w:val="30"/>
          <w:szCs w:val="30"/>
        </w:rPr>
        <w:t>В районе имеются с</w:t>
      </w:r>
      <w:r w:rsidRPr="00D74CB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ледующие туристические ресурсы:</w:t>
      </w:r>
    </w:p>
    <w:p w:rsidR="00D74CBA" w:rsidRPr="00D74CBA" w:rsidRDefault="00D74CBA" w:rsidP="00D74CB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hAnsi="Times New Roman" w:cs="Times New Roman"/>
          <w:i/>
          <w:sz w:val="30"/>
          <w:szCs w:val="30"/>
        </w:rPr>
        <w:t>13 коллективных средств размещения, гостиниц и аналогичных средств размещения, в том числе:</w:t>
      </w:r>
    </w:p>
    <w:p w:rsidR="00D74CBA" w:rsidRPr="00D74CBA" w:rsidRDefault="00D74CBA" w:rsidP="00D74C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hAnsi="Times New Roman" w:cs="Times New Roman"/>
          <w:i/>
          <w:sz w:val="30"/>
          <w:szCs w:val="30"/>
        </w:rPr>
        <w:t xml:space="preserve"> 2 гостиницы (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Спортивный городок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ГСУСУ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Витебский областной центр олимпийского резерва по зимним видам спорта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(75 койко-мест), гостиница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Пралеска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ОДО ”Авангард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(18 койко-мест)), </w:t>
      </w:r>
    </w:p>
    <w:p w:rsidR="00D74CBA" w:rsidRPr="00D74CBA" w:rsidRDefault="00D74CBA" w:rsidP="00D74C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hAnsi="Times New Roman" w:cs="Times New Roman"/>
          <w:i/>
          <w:sz w:val="30"/>
          <w:szCs w:val="30"/>
        </w:rPr>
        <w:t xml:space="preserve">гостевые дома УП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Поозерье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(24 койко-места), </w:t>
      </w:r>
    </w:p>
    <w:p w:rsidR="00D74CBA" w:rsidRPr="00D74CBA" w:rsidRDefault="00D74CBA" w:rsidP="00D74C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hAnsi="Times New Roman" w:cs="Times New Roman"/>
          <w:i/>
          <w:sz w:val="30"/>
          <w:szCs w:val="30"/>
        </w:rPr>
        <w:t xml:space="preserve">общежитие УО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Городокский государственный аграрно-технический колледж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(100 койко-мест);</w:t>
      </w:r>
    </w:p>
    <w:p w:rsidR="00D74CBA" w:rsidRPr="00D74CBA" w:rsidRDefault="00D74CBA" w:rsidP="00D74C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hAnsi="Times New Roman" w:cs="Times New Roman"/>
          <w:i/>
          <w:sz w:val="30"/>
          <w:szCs w:val="30"/>
        </w:rPr>
        <w:t xml:space="preserve">туристско-оздоровительный комплекс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Лосвидо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(175 койко-мест), </w:t>
      </w:r>
    </w:p>
    <w:p w:rsidR="00D74CBA" w:rsidRPr="00D74CBA" w:rsidRDefault="00D74CBA" w:rsidP="00D74C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hAnsi="Times New Roman" w:cs="Times New Roman"/>
          <w:i/>
          <w:sz w:val="30"/>
          <w:szCs w:val="30"/>
        </w:rPr>
        <w:t xml:space="preserve">5 домов охотника (рыбака): Витебская областная организационная структура РГОО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Белорусское общество охотников и рыболовов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(10 койко-мест), дом ЗАО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Осотно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(10 койко-мест), 3 - УП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Поозерье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(24 койко-места), </w:t>
      </w:r>
    </w:p>
    <w:p w:rsidR="00D74CBA" w:rsidRPr="00D74CBA" w:rsidRDefault="00D74CBA" w:rsidP="00D74C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hAnsi="Times New Roman" w:cs="Times New Roman"/>
          <w:i/>
          <w:sz w:val="30"/>
          <w:szCs w:val="30"/>
          <w:lang w:eastAsia="ru-RU"/>
        </w:rPr>
        <w:t>3 базы отдыха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-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Панский двор“ (25 мест),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Озёрная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(100 мест), </w:t>
      </w:r>
      <w:r w:rsidRPr="00D74CBA">
        <w:rPr>
          <w:i/>
          <w:sz w:val="30"/>
          <w:szCs w:val="30"/>
        </w:rPr>
        <w:t>«</w:t>
      </w:r>
      <w:r w:rsidRPr="00D74CBA">
        <w:rPr>
          <w:rFonts w:ascii="Times New Roman" w:hAnsi="Times New Roman" w:cs="Times New Roman"/>
          <w:i/>
          <w:sz w:val="30"/>
          <w:szCs w:val="30"/>
        </w:rPr>
        <w:t>Бабарики</w:t>
      </w:r>
      <w:r w:rsidRPr="00D74CBA">
        <w:rPr>
          <w:i/>
          <w:sz w:val="30"/>
          <w:szCs w:val="30"/>
        </w:rPr>
        <w:t>»</w:t>
      </w:r>
      <w:r w:rsidRPr="00D74CBA">
        <w:rPr>
          <w:rFonts w:ascii="Times New Roman" w:hAnsi="Times New Roman" w:cs="Times New Roman"/>
          <w:i/>
          <w:sz w:val="30"/>
          <w:szCs w:val="30"/>
        </w:rPr>
        <w:t xml:space="preserve"> (50 койко-мест).</w:t>
      </w:r>
    </w:p>
    <w:p w:rsidR="00D74CBA" w:rsidRPr="00D74CBA" w:rsidRDefault="00D74CBA" w:rsidP="00D74C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hAnsi="Times New Roman" w:cs="Times New Roman"/>
          <w:i/>
          <w:sz w:val="30"/>
          <w:szCs w:val="30"/>
        </w:rPr>
        <w:t>Имеется 3 действующих субъекта агроэкотуризма;</w:t>
      </w:r>
    </w:p>
    <w:p w:rsidR="00D74CBA" w:rsidRPr="00D74CBA" w:rsidRDefault="00D74CBA" w:rsidP="00D74C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4CBA">
        <w:rPr>
          <w:rFonts w:ascii="Times New Roman" w:hAnsi="Times New Roman" w:cs="Times New Roman"/>
          <w:i/>
          <w:sz w:val="30"/>
          <w:szCs w:val="30"/>
        </w:rPr>
        <w:t>21 общедоступных объекта общественного питания на 628 мест;</w:t>
      </w:r>
    </w:p>
    <w:p w:rsidR="00D74CBA" w:rsidRPr="00D74CBA" w:rsidRDefault="00D74CBA" w:rsidP="00D74C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D74CBA">
        <w:rPr>
          <w:rFonts w:ascii="Times New Roman" w:hAnsi="Times New Roman"/>
          <w:i/>
          <w:sz w:val="30"/>
          <w:szCs w:val="30"/>
        </w:rPr>
        <w:t xml:space="preserve">8 комплексных объектов придорожного сервиса </w:t>
      </w:r>
      <w:r w:rsidRPr="00D74CBA">
        <w:rPr>
          <w:rFonts w:ascii="Times New Roman" w:hAnsi="Times New Roman"/>
          <w:i/>
          <w:iCs/>
          <w:sz w:val="30"/>
          <w:szCs w:val="30"/>
        </w:rPr>
        <w:t>(3 – АЗС, 4 – пункта питания, площадка для отдыха - 1)</w:t>
      </w:r>
      <w:r w:rsidRPr="00D74CBA">
        <w:rPr>
          <w:rFonts w:ascii="Times New Roman" w:hAnsi="Times New Roman"/>
          <w:i/>
          <w:sz w:val="30"/>
          <w:szCs w:val="30"/>
        </w:rPr>
        <w:t>;</w:t>
      </w:r>
    </w:p>
    <w:p w:rsidR="00D74CBA" w:rsidRPr="00D74CBA" w:rsidRDefault="00D74CBA" w:rsidP="00D74CB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D74CBA">
        <w:rPr>
          <w:rFonts w:ascii="Times New Roman" w:hAnsi="Times New Roman"/>
          <w:i/>
          <w:sz w:val="30"/>
          <w:szCs w:val="30"/>
        </w:rPr>
        <w:t>222 торговых объекта.</w:t>
      </w:r>
    </w:p>
    <w:p w:rsidR="00D74CBA" w:rsidRPr="00D74CBA" w:rsidRDefault="00D74CBA" w:rsidP="00D74CBA">
      <w:pPr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D74CBA">
        <w:rPr>
          <w:rFonts w:ascii="Times New Roman" w:hAnsi="Times New Roman"/>
          <w:i/>
          <w:sz w:val="30"/>
          <w:szCs w:val="30"/>
        </w:rPr>
        <w:t xml:space="preserve">На повышение туристической привлекательности региона направлено ежегодное проведение брендовых мероприятий с приглашением участников и гостей из различных регионов Беларуси и других стран: </w:t>
      </w:r>
    </w:p>
    <w:p w:rsidR="00D74CBA" w:rsidRPr="00D74CBA" w:rsidRDefault="00D74CBA" w:rsidP="00D7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</w:pPr>
      <w:r w:rsidRPr="00D74CB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- районный </w:t>
      </w:r>
      <w:r w:rsidRPr="00D74CBA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праздник народного творчества, белорусской поэзии и фольклора </w:t>
      </w:r>
      <w:r w:rsidRPr="00D74CB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«</w:t>
      </w:r>
      <w:r w:rsidRPr="00D74CBA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Гарадоцк</w:t>
      </w:r>
      <w:r w:rsidRPr="00D74CBA">
        <w:rPr>
          <w:rFonts w:ascii="Times New Roman" w:eastAsia="Calibri" w:hAnsi="Times New Roman" w:cs="Times New Roman"/>
          <w:i/>
          <w:sz w:val="30"/>
          <w:szCs w:val="30"/>
          <w:lang w:val="be-BY" w:eastAsia="ru-RU"/>
        </w:rPr>
        <w:t>і Парнас</w:t>
      </w:r>
      <w:r w:rsidRPr="00D74CB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» (проводится в честь знаменитого земляка поэта Константина Вереницына). </w:t>
      </w:r>
      <w:r w:rsidRPr="00D74CB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 р</w:t>
      </w:r>
      <w:r w:rsidRPr="00D74CBA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 xml:space="preserve">айонном празднике ежегодно представлены различные направления народного творчества: музыкальное, песенное, танцевальное искусство, поэтическое творчество, традиционные ремёсла, белорусская национальная кухня. На плошадках праздника проходит  множество мероприятий, где свой творческий потенциал демонстрируют учреждения культуры и образования, сельские советы и организации, предприятия района </w:t>
      </w:r>
      <w:r w:rsidRPr="00D74CBA"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>(ежегодная акция “Читаем поэму вместе”, конкурс  тематических подворий, ярмарка ремёсёл “Кірмаш ля Парнаса”, поэтический вечер, гала-концерт  “Вечеринка на Парнасе”). Каждый год программа праздника обновляется, что обеспечивает  к нему  высокий зрительский интерес;</w:t>
      </w:r>
    </w:p>
    <w:p w:rsidR="00D74CBA" w:rsidRPr="00D74CBA" w:rsidRDefault="00D74CBA" w:rsidP="00D74CBA">
      <w:pPr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D74CBA">
        <w:rPr>
          <w:rFonts w:ascii="Times New Roman" w:hAnsi="Times New Roman"/>
          <w:bCs/>
          <w:i/>
          <w:sz w:val="30"/>
          <w:szCs w:val="30"/>
        </w:rPr>
        <w:t xml:space="preserve">- </w:t>
      </w:r>
      <w:r w:rsidRPr="00D74CBA">
        <w:rPr>
          <w:rFonts w:ascii="Times New Roman" w:hAnsi="Times New Roman"/>
          <w:i/>
          <w:sz w:val="30"/>
          <w:szCs w:val="30"/>
        </w:rPr>
        <w:t xml:space="preserve">кулинарный фестиваль </w:t>
      </w:r>
      <w:r w:rsidRPr="00D74CBA">
        <w:rPr>
          <w:rFonts w:ascii="Times New Roman" w:hAnsi="Times New Roman"/>
          <w:bCs/>
          <w:i/>
          <w:sz w:val="30"/>
          <w:szCs w:val="30"/>
        </w:rPr>
        <w:t>«</w:t>
      </w:r>
      <w:r w:rsidRPr="00D74CBA">
        <w:rPr>
          <w:rFonts w:ascii="Times New Roman" w:hAnsi="Times New Roman"/>
          <w:i/>
          <w:sz w:val="30"/>
          <w:szCs w:val="30"/>
        </w:rPr>
        <w:t>Мара гурмана»: проводится с целью популяризации белорусского гастрономического наследия, продвижения современной белорусской кухни;</w:t>
      </w:r>
    </w:p>
    <w:p w:rsidR="00D74CBA" w:rsidRPr="00D74CBA" w:rsidRDefault="00D74CBA" w:rsidP="00D74CBA">
      <w:pPr>
        <w:ind w:firstLine="708"/>
        <w:jc w:val="both"/>
        <w:rPr>
          <w:rFonts w:ascii="Times New Roman" w:eastAsia="Calibri" w:hAnsi="Times New Roman"/>
          <w:i/>
          <w:sz w:val="30"/>
          <w:szCs w:val="30"/>
        </w:rPr>
      </w:pPr>
      <w:r w:rsidRPr="00D74CBA">
        <w:rPr>
          <w:rFonts w:ascii="Times New Roman" w:hAnsi="Times New Roman"/>
          <w:i/>
          <w:sz w:val="30"/>
          <w:szCs w:val="30"/>
        </w:rPr>
        <w:t>- в «Резиденции Снегурочки», которая расположилась на бас-острове, проходят театрализованные интерактивные программы с играми, конкурсами, хороводами и забавами у ёлки.</w:t>
      </w:r>
    </w:p>
    <w:p w:rsidR="00D74CBA" w:rsidRPr="00D74CBA" w:rsidRDefault="00D74CBA" w:rsidP="00D74CBA">
      <w:pPr>
        <w:ind w:firstLine="708"/>
        <w:jc w:val="both"/>
        <w:rPr>
          <w:rFonts w:ascii="Times New Roman" w:hAnsi="Times New Roman" w:cs="Arial Unicode MS"/>
          <w:i/>
          <w:sz w:val="30"/>
          <w:szCs w:val="30"/>
        </w:rPr>
      </w:pPr>
      <w:r w:rsidRPr="00D74CBA">
        <w:rPr>
          <w:rFonts w:ascii="Times New Roman" w:eastAsia="Calibri" w:hAnsi="Times New Roman"/>
          <w:i/>
          <w:sz w:val="30"/>
          <w:szCs w:val="30"/>
        </w:rPr>
        <w:t xml:space="preserve">Способствует развитию туризма проведение международных спортивно-массовых мероприятий. Традиционные для Городокщины открытый детский футбольный турнир «Кубок Льва», </w:t>
      </w:r>
      <w:r w:rsidRPr="00D74CBA">
        <w:rPr>
          <w:rFonts w:ascii="Times New Roman" w:hAnsi="Times New Roman" w:cs="Arial Unicode MS"/>
          <w:i/>
          <w:sz w:val="30"/>
          <w:szCs w:val="30"/>
        </w:rPr>
        <w:t>Международный турнир «Кубок Хмеля» ежегодно собирает в Городке участников и болельщиков из разных уголков Беларуси и России, которые, пребывая здесь, открывают для себя Городокщину, увозят с собой сувениры, буклеты и массу приятных эмоций и впечатлений, тем самым обеспечивая популяризацию нашего региона и страны в целом, как маршрута для туристических путешествий.</w:t>
      </w:r>
    </w:p>
    <w:p w:rsidR="00D74CBA" w:rsidRPr="00D74CBA" w:rsidRDefault="00D74CBA" w:rsidP="00D74CBA">
      <w:pPr>
        <w:ind w:firstLine="708"/>
        <w:jc w:val="both"/>
        <w:rPr>
          <w:rFonts w:ascii="Times New Roman" w:hAnsi="Times New Roman" w:cs="Arial Unicode MS"/>
          <w:i/>
          <w:sz w:val="30"/>
          <w:szCs w:val="30"/>
        </w:rPr>
      </w:pPr>
      <w:r w:rsidRPr="00D74CBA">
        <w:rPr>
          <w:rFonts w:ascii="Times New Roman" w:hAnsi="Times New Roman" w:cs="Arial Unicode MS"/>
          <w:i/>
          <w:sz w:val="30"/>
          <w:szCs w:val="30"/>
        </w:rPr>
        <w:t>Кроме отдыха, в районе можно получить спектр оздоровительных услуг. Одним из популярных мест для отдыха являетс туристко-оздоровительный комплекс «Лосвидо» УП «Витебсктурист». Он расположен на берегу одного из крупнейших озер Беларуси, в окружении лесных массивов, что позволяет успешно решать задачи лечебно-оздоровительного туризма.</w:t>
      </w:r>
    </w:p>
    <w:p w:rsidR="00D74CBA" w:rsidRPr="00D74CBA" w:rsidRDefault="00D74CBA" w:rsidP="00D7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30"/>
          <w:szCs w:val="30"/>
          <w:shd w:val="clear" w:color="auto" w:fill="FFFFFF"/>
          <w:lang w:eastAsia="ru-RU"/>
        </w:rPr>
      </w:pPr>
      <w:r w:rsidRPr="00D74CBA">
        <w:rPr>
          <w:rFonts w:ascii="Times New Roman" w:eastAsia="Times New Roman" w:hAnsi="Times New Roman" w:cs="Times New Roman"/>
          <w:i/>
          <w:spacing w:val="3"/>
          <w:sz w:val="30"/>
          <w:szCs w:val="30"/>
          <w:shd w:val="clear" w:color="auto" w:fill="FFFFFF"/>
          <w:lang w:eastAsia="ru-RU"/>
        </w:rPr>
        <w:t>К услугам гостей предлагается:</w:t>
      </w:r>
    </w:p>
    <w:p w:rsidR="00D74CBA" w:rsidRPr="00D74CBA" w:rsidRDefault="00D74CBA" w:rsidP="00D7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</w:pPr>
      <w:r w:rsidRPr="00D74CBA"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  <w:t>номерной фонд на 95 номеров с единовременным размещением на 175 человек, в т.ч. номера для людей с ограниченными возможностями;</w:t>
      </w:r>
    </w:p>
    <w:p w:rsidR="00D74CBA" w:rsidRPr="00D74CBA" w:rsidRDefault="00D74CBA" w:rsidP="00D7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</w:pPr>
      <w:r w:rsidRPr="00D74CBA"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  <w:t>два обеденных зала на 156 посадочных мест;</w:t>
      </w:r>
    </w:p>
    <w:p w:rsidR="00D74CBA" w:rsidRPr="00D74CBA" w:rsidRDefault="00D74CBA" w:rsidP="00D7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</w:pPr>
      <w:r w:rsidRPr="00D74CBA"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  <w:t>современный конференц-зал на 100 посадочных мест;</w:t>
      </w:r>
    </w:p>
    <w:p w:rsidR="00D74CBA" w:rsidRPr="00D74CBA" w:rsidRDefault="00D74CBA" w:rsidP="00D7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</w:pPr>
      <w:r w:rsidRPr="00D74CBA"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  <w:t>SPA-комплекс: бассейн (длина 12 метров), джакузи, традиционный турецкий хамам, русская баня, финская сауна, комната отдыха, спортивные тренажеры;</w:t>
      </w:r>
    </w:p>
    <w:p w:rsidR="00D74CBA" w:rsidRPr="00D74CBA" w:rsidRDefault="00D74CBA" w:rsidP="00D7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</w:pPr>
      <w:r w:rsidRPr="00D74CBA"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  <w:t>соляная пещера;</w:t>
      </w:r>
    </w:p>
    <w:p w:rsidR="00D74CBA" w:rsidRPr="00D74CBA" w:rsidRDefault="00D74CBA" w:rsidP="00D7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</w:pPr>
      <w:r w:rsidRPr="00D74CBA"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  <w:t>организация культурно-массовых и спортивно-оздоровительных мероприятий;</w:t>
      </w:r>
    </w:p>
    <w:p w:rsidR="00D74CBA" w:rsidRPr="00D74CBA" w:rsidRDefault="00D74CBA" w:rsidP="00D74C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</w:pPr>
      <w:r w:rsidRPr="00D74CBA">
        <w:rPr>
          <w:rFonts w:ascii="Times New Roman" w:eastAsia="Times New Roman" w:hAnsi="Times New Roman" w:cs="Times New Roman"/>
          <w:i/>
          <w:spacing w:val="3"/>
          <w:sz w:val="30"/>
          <w:szCs w:val="30"/>
          <w:lang w:eastAsia="ru-RU"/>
        </w:rPr>
        <w:t>организация экскурсий (разработано 2 маршрута туристического путешествия), среди которых остаются востребованными путешествие по ”Тропе Наполеона“, к дубу-великану (памятник местного значения), на родину автора поэмы «Тарас на Парнасе».</w:t>
      </w:r>
    </w:p>
    <w:p w:rsidR="00D74CBA" w:rsidRPr="00D74CBA" w:rsidRDefault="00D74CBA" w:rsidP="00D74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shd w:val="clear" w:color="auto" w:fill="FFFFFF"/>
          <w:lang w:eastAsia="ru-RU"/>
        </w:rPr>
      </w:pPr>
      <w:r w:rsidRPr="00D74CB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Важное сегментом туристической сферы является </w:t>
      </w:r>
      <w:r w:rsidRPr="00D74CB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охотничий </w:t>
      </w:r>
      <w:r w:rsidRPr="00D74CB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туризм, что обусловлено богатыми природными ресурсами Городокщины.</w:t>
      </w:r>
      <w:r w:rsidRPr="00D74CBA">
        <w:rPr>
          <w:rFonts w:ascii="Times New Roman" w:eastAsia="Times New Roman" w:hAnsi="Times New Roman" w:cs="Times New Roman"/>
          <w:i/>
          <w:color w:val="333333"/>
          <w:sz w:val="30"/>
          <w:szCs w:val="30"/>
          <w:shd w:val="clear" w:color="auto" w:fill="FFFFFF"/>
          <w:lang w:eastAsia="ru-RU"/>
        </w:rPr>
        <w:t xml:space="preserve"> </w:t>
      </w:r>
      <w:r w:rsidRPr="00D74CB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Услуги по организации охоты и любительского рыбоводства на территории района предлагают: Городокское охотничье хозяйство Витебской областной организационной структуры РГОО «БООР», УП «Поозерье», ЗАО «Осотно». На территории района имеется 5 домов охотника и рыбака, в которых созданы комфортные условия для отдыха: оборудованы кухни, душевые, имеются каминные залы, бани, автостоянки, обеспечен прокат спортивного и туристического инвентаря. </w:t>
      </w:r>
    </w:p>
    <w:p w:rsidR="00D74CBA" w:rsidRPr="0043056D" w:rsidRDefault="00D74CB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«Буйничское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 xml:space="preserve">промтуризма.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гости едут в регион не только за архитектурой Старого замка, но и за атмосферой уникальных фестивалей, таких как «Воранаўскі дранік», «PROжарка по-волковысски», каравай-феста «Бацькава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>Живой интерес вызывают и ремесла: вытинанка,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«Купалье»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фольклорный фестиваль «Мотальскія прысмакі»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Сулы» и весеннее «Гуканне вясны»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Ганненскі кірмаш</w:t>
      </w:r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«Припятский»,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(г.Гродно)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>музыкальные опен-эйры</w:t>
      </w:r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>Viva Braslav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 xml:space="preserve">Браславе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(г.Пружаны,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(г.Лида,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сезоны концертов Белгосфилармонии.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кірмаш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Кветкі Нясвіжа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«Нарочанский»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>: от развитой городской инфраструктуры до живописных экомаршрутов.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г.Минске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велопутей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 были введены в эксплуатацию 44 велопарковки и 8 велогаражей.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«Силичи», Республиканский центр олимпийской подготовки по зимним видам спорта «Раубичи»,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>предлагают агроэкоусадьбы.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«Бацькаву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порозовской банкухи</w:t>
      </w:r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Гродно.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Лунинце,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Ивье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Витебщине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Глубоком.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«Вандруй. Адчуй. Натхняйся»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«Вандруй. Адчуй. Натхняйся»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агроусадьбы</w:t>
      </w:r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C8" w:rsidRDefault="00981FC8" w:rsidP="00AF6E83">
      <w:pPr>
        <w:spacing w:after="0" w:line="240" w:lineRule="auto"/>
      </w:pPr>
      <w:r>
        <w:separator/>
      </w:r>
    </w:p>
  </w:endnote>
  <w:endnote w:type="continuationSeparator" w:id="0">
    <w:p w:rsidR="00981FC8" w:rsidRDefault="00981FC8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C8" w:rsidRDefault="00981FC8" w:rsidP="00AF6E83">
      <w:pPr>
        <w:spacing w:after="0" w:line="240" w:lineRule="auto"/>
      </w:pPr>
      <w:r>
        <w:separator/>
      </w:r>
    </w:p>
  </w:footnote>
  <w:footnote w:type="continuationSeparator" w:id="0">
    <w:p w:rsidR="00981FC8" w:rsidRDefault="00981FC8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6391677"/>
      <w:docPartObj>
        <w:docPartGallery w:val="Page Numbers (Top of Page)"/>
        <w:docPartUnique/>
      </w:docPartObj>
    </w:sdtPr>
    <w:sdtEndPr/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D74CBA">
          <w:rPr>
            <w:rFonts w:ascii="Times New Roman" w:hAnsi="Times New Roman" w:cs="Times New Roman"/>
            <w:noProof/>
          </w:rPr>
          <w:t>4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6BBA"/>
    <w:multiLevelType w:val="hybridMultilevel"/>
    <w:tmpl w:val="00504966"/>
    <w:lvl w:ilvl="0" w:tplc="63CACD9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63CACD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74CBA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2026-04-24T09:42:00Z</cp:lastPrinted>
  <dcterms:created xsi:type="dcterms:W3CDTF">2026-04-23T11:29:00Z</dcterms:created>
  <dcterms:modified xsi:type="dcterms:W3CDTF">2026-05-18T07:15:00Z</dcterms:modified>
</cp:coreProperties>
</file>