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6BBD75A6" w14:textId="77777777" w:rsidR="00D201DA" w:rsidRDefault="00D201D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14:paraId="57A3BCCD" w14:textId="77777777" w:rsidR="00D201DA" w:rsidRPr="00397EBA" w:rsidRDefault="00D201DA" w:rsidP="00D201DA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F8EDB8A" w14:textId="77777777" w:rsidR="00D201DA" w:rsidRDefault="00D201DA" w:rsidP="00D201DA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14:paraId="66891984" w14:textId="77777777" w:rsidR="00D201DA" w:rsidRDefault="00D201DA" w:rsidP="00D201DA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34A4DBBC" w14:textId="77777777" w:rsidR="00D201DA" w:rsidRPr="00BC67C3" w:rsidRDefault="00D201DA" w:rsidP="00D201DA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>Сплавы на байдарках - самый многочисленный сектор в экологическом туризме нашего региона, они востребованы не только у жителей района, но и популярны у туристов из других регионов Беларуси и России. Экологическая тропа «Тайны болот» протяженностью 6 км проходит вдоль болота в районе озера Чистик. На экотропе можно увидеть реликтовые виды растений, занесенные в Красную книгу Беларуси – морошку, клюкву мелкоплодную.</w:t>
      </w:r>
    </w:p>
    <w:p w14:paraId="338E7BA9" w14:textId="77777777" w:rsidR="00D201DA" w:rsidRPr="00BC67C3" w:rsidRDefault="00D201DA" w:rsidP="00D201DA">
      <w:pPr>
        <w:pStyle w:val="ac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eastAsia="Times New Roman" w:hAnsi="Times New Roman"/>
          <w:i/>
          <w:sz w:val="30"/>
          <w:szCs w:val="30"/>
        </w:rPr>
        <w:t>В районе имеются с</w:t>
      </w:r>
      <w:r w:rsidRPr="00BC67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ледующие туристические ресурсы:</w:t>
      </w:r>
    </w:p>
    <w:p w14:paraId="7C2ADD5B" w14:textId="77777777" w:rsidR="00D201DA" w:rsidRPr="00BC67C3" w:rsidRDefault="00D201DA" w:rsidP="00D201DA">
      <w:pPr>
        <w:pStyle w:val="ac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13 коллективных средств размещения, гостиниц и аналогичных средств размещения, в том числе:</w:t>
      </w:r>
    </w:p>
    <w:p w14:paraId="137AD988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 2 гостиницы (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Спортивный городок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ГСУСУ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Витебский областной центр олимпийского резерва по зимним видам спорта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(75 койко-мест), гостиница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Пралеска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ОДО ”Авангард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(18 койко-мест)), </w:t>
      </w:r>
    </w:p>
    <w:p w14:paraId="6AF7F86A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гостевые дома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14:paraId="4601FBAF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общежитие УО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Городокский государственный аграрно-технический колледж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койко-мест);</w:t>
      </w:r>
    </w:p>
    <w:p w14:paraId="5521481B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туристско-оздоровительный комплекс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Лосвидо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(175 койко-мест), </w:t>
      </w:r>
    </w:p>
    <w:p w14:paraId="78D82459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5 домов охотника (рыбака): Витебская областная организационная структура РГОО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Белорусское общество охотников и рыболовов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дом ЗАО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Осотно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3 -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14:paraId="16F763CB" w14:textId="77777777" w:rsidR="00D201DA" w:rsidRPr="00BC67C3" w:rsidRDefault="00D201DA" w:rsidP="00D201D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Style w:val="ab"/>
          <w:rFonts w:eastAsiaTheme="minorHAnsi"/>
          <w:i/>
          <w:sz w:val="30"/>
          <w:szCs w:val="30"/>
        </w:rPr>
        <w:t>3 базы отдыха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Панский двор“ (25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Озёрная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Бабарики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(50 койко-мест).</w:t>
      </w:r>
    </w:p>
    <w:p w14:paraId="2BBC2728" w14:textId="77777777" w:rsidR="00D201DA" w:rsidRPr="00BC67C3" w:rsidRDefault="00D201DA" w:rsidP="00D201DA">
      <w:pPr>
        <w:pStyle w:val="ac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Имеется 3 действующих субъекта агроэкотуризма;</w:t>
      </w:r>
    </w:p>
    <w:p w14:paraId="6C36FD26" w14:textId="77777777" w:rsidR="00D201DA" w:rsidRPr="00BC67C3" w:rsidRDefault="00D201DA" w:rsidP="00D201DA">
      <w:pPr>
        <w:pStyle w:val="ac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21 общедоступных объекта общественного питания на 628 мест;</w:t>
      </w:r>
    </w:p>
    <w:p w14:paraId="149A8FEC" w14:textId="77777777" w:rsidR="00D201DA" w:rsidRPr="00BC67C3" w:rsidRDefault="00D201DA" w:rsidP="00D201DA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8 комплексных объектов придорожного сервиса </w:t>
      </w:r>
      <w:r w:rsidRPr="00BC67C3">
        <w:rPr>
          <w:i/>
          <w:iCs/>
          <w:sz w:val="30"/>
          <w:szCs w:val="30"/>
        </w:rPr>
        <w:t>(3 – АЗС, 4 – пункта питания, площадка для отдыха - 1)</w:t>
      </w:r>
      <w:r w:rsidRPr="00BC67C3">
        <w:rPr>
          <w:i/>
          <w:sz w:val="30"/>
          <w:szCs w:val="30"/>
        </w:rPr>
        <w:t>;</w:t>
      </w:r>
    </w:p>
    <w:p w14:paraId="0890009E" w14:textId="77777777" w:rsidR="00D201DA" w:rsidRPr="00BC67C3" w:rsidRDefault="00D201DA" w:rsidP="00D201DA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>222 торговых объекта.</w:t>
      </w:r>
    </w:p>
    <w:p w14:paraId="17746380" w14:textId="77777777" w:rsidR="00D201DA" w:rsidRPr="00BC67C3" w:rsidRDefault="00D201DA" w:rsidP="00D201DA">
      <w:pPr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На повышение туристической привлекательности региона направлено ежегодное проведение брендовых мероприятий с приглашением участников и гостей из различных регионов Беларуси и других стран: </w:t>
      </w:r>
    </w:p>
    <w:p w14:paraId="6719DE85" w14:textId="77777777" w:rsidR="00D201DA" w:rsidRPr="00BC67C3" w:rsidRDefault="00D201DA" w:rsidP="00D201DA">
      <w:pPr>
        <w:pStyle w:val="aa"/>
        <w:ind w:firstLine="709"/>
        <w:jc w:val="both"/>
        <w:rPr>
          <w:i/>
          <w:sz w:val="26"/>
          <w:szCs w:val="26"/>
          <w:lang w:val="be-BY"/>
        </w:rPr>
      </w:pPr>
      <w:r w:rsidRPr="00BC67C3">
        <w:rPr>
          <w:i/>
          <w:sz w:val="30"/>
          <w:szCs w:val="30"/>
        </w:rPr>
        <w:t xml:space="preserve">- районный </w:t>
      </w:r>
      <w:r w:rsidRPr="00BC67C3">
        <w:rPr>
          <w:rFonts w:eastAsia="Calibri"/>
          <w:i/>
          <w:sz w:val="30"/>
          <w:szCs w:val="30"/>
        </w:rPr>
        <w:t xml:space="preserve">праздник народного творчества, белорусской поэзии и фольклора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rFonts w:eastAsia="Calibri"/>
          <w:i/>
          <w:sz w:val="30"/>
          <w:szCs w:val="30"/>
        </w:rPr>
        <w:t>Гарадоцк</w:t>
      </w:r>
      <w:r w:rsidRPr="00BC67C3">
        <w:rPr>
          <w:rFonts w:eastAsia="Calibri"/>
          <w:i/>
          <w:sz w:val="30"/>
          <w:szCs w:val="30"/>
          <w:lang w:val="be-BY"/>
        </w:rPr>
        <w:t>і Парнас</w:t>
      </w:r>
      <w:r w:rsidRPr="00BC67C3">
        <w:rPr>
          <w:bCs/>
          <w:i/>
          <w:sz w:val="30"/>
          <w:szCs w:val="30"/>
        </w:rPr>
        <w:t xml:space="preserve">» (проводится в честь знаменитого земляка поэта Константина Вереницына). </w:t>
      </w:r>
      <w:r w:rsidRPr="00BC67C3">
        <w:rPr>
          <w:i/>
          <w:sz w:val="30"/>
          <w:szCs w:val="30"/>
        </w:rPr>
        <w:t>На р</w:t>
      </w:r>
      <w:r w:rsidRPr="00BC67C3">
        <w:rPr>
          <w:i/>
          <w:sz w:val="30"/>
          <w:szCs w:val="30"/>
          <w:lang w:val="be-BY"/>
        </w:rPr>
        <w:t xml:space="preserve">айонном празднике ежегодно представлены различные направления народного творчества: музыкальное, песенное, танцевальное искусство, поэтическое творчество, традиционные ремёсла, белорусская национальная кухня. На плошадках праздника проходит  множество мероприятий, где свой творческий потенциал демонстрируют учреждения культуры и образования, сельские советы и организации, предприятия района </w:t>
      </w:r>
      <w:r w:rsidRPr="00BC67C3">
        <w:rPr>
          <w:i/>
          <w:sz w:val="26"/>
          <w:szCs w:val="26"/>
          <w:lang w:val="be-BY"/>
        </w:rPr>
        <w:t>(ежегодная акция “Читаем поэму вместе”, конкурс  тематических подворий, ярмарка ремёсёл “Кірмаш ля Парнаса”, поэтический вечер, гала-концерт  “Вечеринка на Парнасе”). Каждый год программа праздника обновляется, что обеспечивает  к нему  высокий зрительский интерес;</w:t>
      </w:r>
    </w:p>
    <w:p w14:paraId="667A76EC" w14:textId="77777777" w:rsidR="00D201DA" w:rsidRPr="00BC67C3" w:rsidRDefault="00D201DA" w:rsidP="00D201DA">
      <w:pPr>
        <w:ind w:firstLine="708"/>
        <w:jc w:val="both"/>
        <w:rPr>
          <w:i/>
          <w:sz w:val="30"/>
          <w:szCs w:val="30"/>
        </w:rPr>
      </w:pPr>
      <w:r w:rsidRPr="00BC67C3">
        <w:rPr>
          <w:bCs/>
          <w:i/>
          <w:sz w:val="30"/>
          <w:szCs w:val="30"/>
        </w:rPr>
        <w:t xml:space="preserve">- </w:t>
      </w:r>
      <w:r w:rsidRPr="00BC67C3">
        <w:rPr>
          <w:i/>
          <w:sz w:val="30"/>
          <w:szCs w:val="30"/>
        </w:rPr>
        <w:t xml:space="preserve">кулинарный фестиваль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i/>
          <w:sz w:val="30"/>
          <w:szCs w:val="30"/>
        </w:rPr>
        <w:t>Мара гурмана»: проводится с целью популяризации белорусского гастрономического наследия, продвижения современной белорусской кухни;</w:t>
      </w:r>
    </w:p>
    <w:p w14:paraId="03311713" w14:textId="77777777" w:rsidR="00D201DA" w:rsidRPr="00BC67C3" w:rsidRDefault="00D201DA" w:rsidP="00D201DA">
      <w:pPr>
        <w:ind w:firstLine="708"/>
        <w:jc w:val="both"/>
        <w:rPr>
          <w:rFonts w:eastAsia="Calibri"/>
          <w:i/>
          <w:sz w:val="30"/>
          <w:szCs w:val="30"/>
        </w:rPr>
      </w:pPr>
      <w:r w:rsidRPr="00BC67C3">
        <w:rPr>
          <w:i/>
          <w:sz w:val="30"/>
          <w:szCs w:val="30"/>
        </w:rPr>
        <w:t>- в «Резиденции Снегурочки», которая расположилась на бас-острове, проходят театрализованные интерактивные программы с играми, конкурсами, хороводами и забавами у ёлки.</w:t>
      </w:r>
    </w:p>
    <w:p w14:paraId="0D4EF77E" w14:textId="77777777" w:rsidR="00D201DA" w:rsidRPr="00BC67C3" w:rsidRDefault="00D201DA" w:rsidP="00D201DA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eastAsia="Calibri"/>
          <w:i/>
          <w:sz w:val="30"/>
          <w:szCs w:val="30"/>
        </w:rPr>
        <w:t xml:space="preserve">Способствует развитию туризма проведение международных спортивно-массовых мероприятий. Традиционные для Городокщины открытый детский футбольный турнир «Кубок Льва», </w:t>
      </w:r>
      <w:r w:rsidRPr="00BC67C3">
        <w:rPr>
          <w:rFonts w:cs="Arial Unicode MS"/>
          <w:i/>
          <w:sz w:val="30"/>
          <w:szCs w:val="30"/>
        </w:rPr>
        <w:t>Международный турнир «Кубок Хмеля» ежегодно собирает в Городке участников и болельщиков из разных уголков Беларуси и России, которые, пребывая здесь, открывают для себя Городокщину, увозят с собой сувениры, буклеты и массу приятных эмоций и впечатлений, тем самым обеспечивая популяризацию нашего региона и страны в целом, как маршрута для туристических путешествий.</w:t>
      </w:r>
    </w:p>
    <w:p w14:paraId="29794A1C" w14:textId="77777777" w:rsidR="00D201DA" w:rsidRPr="00BC67C3" w:rsidRDefault="00D201DA" w:rsidP="00D201DA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cs="Arial Unicode MS"/>
          <w:i/>
          <w:sz w:val="30"/>
          <w:szCs w:val="30"/>
        </w:rPr>
        <w:t>Кроме отдыха, в районе можно получить спектр оздоровительных услуг. Одним из популярных мест для отдыха являетс туристко-оздоровительный комплекс «Лосвидо» УП «Витебсктурист». Он расположен на берегу одного из крупнейших озер Беларуси, в окружении лесных массивов, что позволяет успешно решать задачи лечебно-оздоровительного туризма.</w:t>
      </w:r>
    </w:p>
    <w:p w14:paraId="2D1CDA86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  <w:shd w:val="clear" w:color="auto" w:fill="FFFFFF"/>
        </w:rPr>
      </w:pPr>
      <w:r w:rsidRPr="00BC67C3">
        <w:rPr>
          <w:i/>
          <w:spacing w:val="3"/>
          <w:sz w:val="30"/>
          <w:szCs w:val="30"/>
          <w:shd w:val="clear" w:color="auto" w:fill="FFFFFF"/>
        </w:rPr>
        <w:t>К услугам гостей предлагается:</w:t>
      </w:r>
    </w:p>
    <w:p w14:paraId="46F80069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номерной фонд на 95 номеров с единовременным размещением на 175 человек, в т.ч. номера для людей с ограниченными возможностями;</w:t>
      </w:r>
    </w:p>
    <w:p w14:paraId="3334A768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два обеденных зала на 156 посадочных мест;</w:t>
      </w:r>
    </w:p>
    <w:p w14:paraId="0607081E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современный конференц-зал на 100 посадочных мест;</w:t>
      </w:r>
    </w:p>
    <w:p w14:paraId="56CF1760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SPA-комплекс: бассейн (длина 12 метров), джакузи, традиционный турецкий хамам, русская баня, финская сауна, комната отдыха, спортивные тренажеры;</w:t>
      </w:r>
    </w:p>
    <w:p w14:paraId="61C0ABB8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соляная пещера;</w:t>
      </w:r>
    </w:p>
    <w:p w14:paraId="378896A0" w14:textId="77777777" w:rsidR="00D201DA" w:rsidRPr="00BC67C3" w:rsidRDefault="00D201DA" w:rsidP="00D201DA">
      <w:pPr>
        <w:pStyle w:val="aa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культурно-массовых и спортивно-оздоровительных мероприятий;</w:t>
      </w:r>
    </w:p>
    <w:p w14:paraId="0E07375E" w14:textId="77777777" w:rsidR="00D201DA" w:rsidRPr="00BC67C3" w:rsidRDefault="00D201DA" w:rsidP="00D201DA">
      <w:pPr>
        <w:pStyle w:val="aa"/>
        <w:ind w:firstLine="720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экскурсий (разработано 2 маршрута туристического путешествия), среди которых остаются востребованными путешествие по ”Тропе Наполеона“, к дубу-великану (памятник местного значения), на родину автора поэмы «Тарас на Парнасе».</w:t>
      </w:r>
    </w:p>
    <w:p w14:paraId="45E3D050" w14:textId="77777777" w:rsidR="00D201DA" w:rsidRPr="00BC67C3" w:rsidRDefault="00D201DA" w:rsidP="00D201DA">
      <w:pPr>
        <w:pStyle w:val="aa"/>
        <w:ind w:firstLine="709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 xml:space="preserve">Важное сегментом туристической сферы является </w:t>
      </w:r>
      <w:r w:rsidRPr="00BC67C3">
        <w:rPr>
          <w:b/>
          <w:i/>
          <w:sz w:val="30"/>
          <w:szCs w:val="30"/>
        </w:rPr>
        <w:t xml:space="preserve">охотничий </w:t>
      </w:r>
      <w:r w:rsidRPr="00BC67C3">
        <w:rPr>
          <w:i/>
          <w:sz w:val="30"/>
          <w:szCs w:val="30"/>
        </w:rPr>
        <w:t>туризм, что обусловлено богатыми природными ресурсами Городокщины.</w:t>
      </w:r>
      <w:r w:rsidRPr="00BC67C3">
        <w:rPr>
          <w:i/>
          <w:color w:val="333333"/>
          <w:sz w:val="30"/>
          <w:szCs w:val="30"/>
          <w:shd w:val="clear" w:color="auto" w:fill="FFFFFF"/>
        </w:rPr>
        <w:t xml:space="preserve"> </w:t>
      </w:r>
      <w:r w:rsidRPr="00BC67C3">
        <w:rPr>
          <w:i/>
          <w:sz w:val="30"/>
          <w:szCs w:val="30"/>
        </w:rPr>
        <w:t xml:space="preserve">Услуги по организации охоты и любительского рыбоводства на территории района предлагают: Городокское охотничье хозяйство Витебской областной организационной структуры РГОО «БООР», УП «Поозерье», ЗАО «Осотно». На территории района имеется 5 домов охотника и рыбака, в которых созданы комфортные условия для отдыха: оборудованы кухни, душевые, имеются каминные залы, бани, автостоянки, обеспечен прокат спортивного и туристического инвентаря. </w:t>
      </w:r>
    </w:p>
    <w:p w14:paraId="5E5756A4" w14:textId="77777777" w:rsidR="00D201DA" w:rsidRDefault="00D201D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bookmarkStart w:id="0" w:name="_GoBack"/>
      <w:bookmarkEnd w:id="0"/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24729" w14:textId="77777777" w:rsidR="00BE5897" w:rsidRDefault="00BE5897">
      <w:pPr>
        <w:spacing w:line="240" w:lineRule="auto"/>
      </w:pPr>
      <w:r>
        <w:separator/>
      </w:r>
    </w:p>
  </w:endnote>
  <w:endnote w:type="continuationSeparator" w:id="0">
    <w:p w14:paraId="6988F5B9" w14:textId="77777777" w:rsidR="00BE5897" w:rsidRDefault="00BE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B5D95" w14:textId="77777777" w:rsidR="00BE5897" w:rsidRDefault="00BE5897">
      <w:pPr>
        <w:spacing w:after="0"/>
      </w:pPr>
      <w:r>
        <w:separator/>
      </w:r>
    </w:p>
  </w:footnote>
  <w:footnote w:type="continuationSeparator" w:id="0">
    <w:p w14:paraId="5E27F434" w14:textId="77777777" w:rsidR="00BE5897" w:rsidRDefault="00BE58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D201DA">
          <w:rPr>
            <w:noProof/>
            <w:sz w:val="22"/>
          </w:rPr>
          <w:t>6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BBA"/>
    <w:multiLevelType w:val="hybridMultilevel"/>
    <w:tmpl w:val="00504966"/>
    <w:lvl w:ilvl="0" w:tplc="63CACD9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63CACD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01DA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D201DA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D201D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uiPriority w:val="1"/>
    <w:unhideWhenUsed/>
    <w:qFormat/>
    <w:rsid w:val="00D201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2026-05-13T08:14:00Z</cp:lastPrinted>
  <dcterms:created xsi:type="dcterms:W3CDTF">2026-04-22T05:00:00Z</dcterms:created>
  <dcterms:modified xsi:type="dcterms:W3CDTF">2026-05-18T07:14:00Z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